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ED5B3" w14:textId="77777777" w:rsidR="00F7456A" w:rsidRPr="00372C6B" w:rsidRDefault="00F7456A" w:rsidP="00607186">
      <w:pPr>
        <w:rPr>
          <w:rFonts w:ascii="Calibri" w:hAnsi="Calibri" w:cs="Calibri"/>
        </w:rPr>
      </w:pPr>
    </w:p>
    <w:p w14:paraId="47A3F022" w14:textId="2E4BFC86" w:rsidR="297F4C8E" w:rsidRPr="00372C6B" w:rsidRDefault="297F4C8E">
      <w:pPr>
        <w:rPr>
          <w:rFonts w:ascii="Calibri" w:hAnsi="Calibri" w:cs="Calibri"/>
        </w:rPr>
      </w:pPr>
    </w:p>
    <w:p w14:paraId="26C94A7F" w14:textId="75BC7F15" w:rsidR="00C00C02" w:rsidRPr="00372C6B" w:rsidRDefault="00F65FC1" w:rsidP="00C00C02">
      <w:pPr>
        <w:pStyle w:val="IntenseQuote"/>
        <w:rPr>
          <w:rStyle w:val="IntenseReference"/>
          <w:rFonts w:ascii="Calibri" w:hAnsi="Calibri" w:cs="Calibri"/>
          <w:sz w:val="36"/>
          <w:szCs w:val="36"/>
        </w:rPr>
      </w:pPr>
      <w:r w:rsidRPr="00372C6B">
        <w:rPr>
          <w:rStyle w:val="IntenseReference"/>
          <w:rFonts w:ascii="Calibri" w:hAnsi="Calibri" w:cs="Calibri"/>
          <w:sz w:val="36"/>
          <w:szCs w:val="36"/>
        </w:rPr>
        <w:t xml:space="preserve">2026 </w:t>
      </w:r>
      <w:r w:rsidR="00C00C02" w:rsidRPr="00372C6B">
        <w:rPr>
          <w:rStyle w:val="IntenseReference"/>
          <w:rFonts w:ascii="Calibri" w:hAnsi="Calibri" w:cs="Calibri"/>
          <w:sz w:val="36"/>
          <w:szCs w:val="36"/>
        </w:rPr>
        <w:t>NASPI</w:t>
      </w:r>
      <w:r w:rsidR="00023A6D" w:rsidRPr="00372C6B">
        <w:rPr>
          <w:rStyle w:val="IntenseReference"/>
          <w:rFonts w:ascii="Calibri" w:hAnsi="Calibri" w:cs="Calibri"/>
          <w:sz w:val="36"/>
          <w:szCs w:val="36"/>
        </w:rPr>
        <w:t xml:space="preserve"> White Paper</w:t>
      </w:r>
    </w:p>
    <w:p w14:paraId="133BB00C" w14:textId="77777777" w:rsidR="00C00C02" w:rsidRPr="00372C6B" w:rsidRDefault="00C00C02" w:rsidP="00C00C02">
      <w:pPr>
        <w:pStyle w:val="IntenseQuote"/>
        <w:rPr>
          <w:rStyle w:val="IntenseReference"/>
          <w:rFonts w:ascii="Calibri" w:hAnsi="Calibri" w:cs="Calibri"/>
          <w:sz w:val="36"/>
          <w:szCs w:val="36"/>
        </w:rPr>
      </w:pPr>
      <w:r w:rsidRPr="00372C6B">
        <w:rPr>
          <w:rStyle w:val="IntenseReference"/>
          <w:rFonts w:ascii="Calibri" w:hAnsi="Calibri" w:cs="Calibri"/>
          <w:sz w:val="36"/>
          <w:szCs w:val="36"/>
        </w:rPr>
        <w:t>Control Room Solutions Task Team</w:t>
      </w:r>
    </w:p>
    <w:p w14:paraId="13810419" w14:textId="77777777" w:rsidR="00F7456A" w:rsidRPr="00372C6B" w:rsidRDefault="00F7456A" w:rsidP="00607186">
      <w:pPr>
        <w:rPr>
          <w:rFonts w:ascii="Calibri" w:hAnsi="Calibri" w:cs="Calibri"/>
        </w:rPr>
      </w:pPr>
    </w:p>
    <w:p w14:paraId="6246E6B2" w14:textId="77777777" w:rsidR="00F7456A" w:rsidRPr="00372C6B" w:rsidRDefault="00F7456A" w:rsidP="00607186">
      <w:pPr>
        <w:rPr>
          <w:rFonts w:ascii="Calibri" w:hAnsi="Calibri" w:cs="Calibri"/>
        </w:rPr>
      </w:pPr>
    </w:p>
    <w:p w14:paraId="50EECFAB" w14:textId="77777777" w:rsidR="00C00C02" w:rsidRPr="00372C6B" w:rsidRDefault="00C00C02" w:rsidP="00607186">
      <w:pPr>
        <w:rPr>
          <w:rFonts w:ascii="Calibri" w:hAnsi="Calibri" w:cs="Calibri"/>
        </w:rPr>
      </w:pPr>
    </w:p>
    <w:p w14:paraId="1EBA582A" w14:textId="77777777" w:rsidR="00CF150A" w:rsidRPr="00372C6B" w:rsidRDefault="00CA6D9A" w:rsidP="00CF150A">
      <w:pPr>
        <w:pStyle w:val="Title"/>
        <w:jc w:val="center"/>
        <w:rPr>
          <w:rFonts w:ascii="Calibri" w:hAnsi="Calibri" w:cs="Calibri"/>
        </w:rPr>
      </w:pPr>
      <w:r w:rsidRPr="00372C6B">
        <w:rPr>
          <w:rFonts w:ascii="Calibri" w:hAnsi="Calibri" w:cs="Calibri"/>
        </w:rPr>
        <w:t xml:space="preserve">Proposed Changes </w:t>
      </w:r>
      <w:r w:rsidR="00CF150A" w:rsidRPr="00372C6B">
        <w:rPr>
          <w:rFonts w:ascii="Calibri" w:hAnsi="Calibri" w:cs="Calibri"/>
        </w:rPr>
        <w:t xml:space="preserve">to </w:t>
      </w:r>
    </w:p>
    <w:p w14:paraId="5733A47A" w14:textId="77777777" w:rsidR="00060C9E" w:rsidRPr="00372C6B" w:rsidRDefault="00CF150A" w:rsidP="00CF150A">
      <w:pPr>
        <w:pStyle w:val="Title"/>
        <w:jc w:val="center"/>
        <w:rPr>
          <w:rFonts w:ascii="Calibri" w:hAnsi="Calibri" w:cs="Calibri"/>
        </w:rPr>
      </w:pPr>
      <w:r w:rsidRPr="00372C6B">
        <w:rPr>
          <w:rFonts w:ascii="Calibri" w:hAnsi="Calibri" w:cs="Calibri"/>
        </w:rPr>
        <w:t xml:space="preserve">North American </w:t>
      </w:r>
    </w:p>
    <w:p w14:paraId="2EDD727E" w14:textId="69ADBE6A" w:rsidR="00CA6D9A" w:rsidRPr="00372C6B" w:rsidRDefault="00CF150A" w:rsidP="00060C9E">
      <w:pPr>
        <w:pStyle w:val="Title"/>
        <w:jc w:val="center"/>
        <w:rPr>
          <w:rFonts w:ascii="Calibri" w:hAnsi="Calibri" w:cs="Calibri"/>
        </w:rPr>
      </w:pPr>
      <w:r w:rsidRPr="00372C6B">
        <w:rPr>
          <w:rFonts w:ascii="Calibri" w:hAnsi="Calibri" w:cs="Calibri"/>
        </w:rPr>
        <w:t xml:space="preserve">Regulatory Requirements </w:t>
      </w:r>
      <w:r w:rsidR="00CA6D9A" w:rsidRPr="00372C6B">
        <w:rPr>
          <w:rFonts w:ascii="Calibri" w:hAnsi="Calibri" w:cs="Calibri"/>
        </w:rPr>
        <w:t>for</w:t>
      </w:r>
    </w:p>
    <w:p w14:paraId="26A349C1" w14:textId="360C8D7E" w:rsidR="0098254C" w:rsidRPr="00372C6B" w:rsidRDefault="00B919EC" w:rsidP="00CF150A">
      <w:pPr>
        <w:pStyle w:val="Title"/>
        <w:jc w:val="center"/>
        <w:rPr>
          <w:rFonts w:ascii="Calibri" w:hAnsi="Calibri" w:cs="Calibri"/>
        </w:rPr>
      </w:pPr>
      <w:r w:rsidRPr="00372C6B">
        <w:rPr>
          <w:rFonts w:ascii="Calibri" w:hAnsi="Calibri" w:cs="Calibri"/>
        </w:rPr>
        <w:t xml:space="preserve">Real-Time </w:t>
      </w:r>
      <w:r w:rsidR="004836EA" w:rsidRPr="00372C6B">
        <w:rPr>
          <w:rFonts w:ascii="Calibri" w:hAnsi="Calibri" w:cs="Calibri"/>
        </w:rPr>
        <w:t xml:space="preserve">Stability </w:t>
      </w:r>
      <w:r w:rsidRPr="00372C6B">
        <w:rPr>
          <w:rFonts w:ascii="Calibri" w:hAnsi="Calibri" w:cs="Calibri"/>
        </w:rPr>
        <w:t xml:space="preserve">Monitoring </w:t>
      </w:r>
    </w:p>
    <w:p w14:paraId="7B5AF52E" w14:textId="77777777" w:rsidR="00C00C02" w:rsidRPr="00372C6B" w:rsidRDefault="00C00C02" w:rsidP="00C00C02">
      <w:pPr>
        <w:rPr>
          <w:rFonts w:ascii="Calibri" w:hAnsi="Calibri" w:cs="Calibri"/>
        </w:rPr>
      </w:pPr>
    </w:p>
    <w:p w14:paraId="7F091C53" w14:textId="77777777" w:rsidR="00F7456A" w:rsidRPr="00372C6B" w:rsidRDefault="00F7456A" w:rsidP="00F7456A">
      <w:pPr>
        <w:pStyle w:val="Title"/>
        <w:rPr>
          <w:rFonts w:ascii="Calibri" w:hAnsi="Calibri" w:cs="Calibri"/>
        </w:rPr>
      </w:pPr>
    </w:p>
    <w:p w14:paraId="4D54FB1D" w14:textId="77777777" w:rsidR="00377673" w:rsidRPr="00372C6B" w:rsidRDefault="00377673" w:rsidP="00F7456A">
      <w:pPr>
        <w:pStyle w:val="Title"/>
        <w:rPr>
          <w:rFonts w:ascii="Calibri" w:hAnsi="Calibri" w:cs="Calibri"/>
        </w:rPr>
        <w:sectPr w:rsidR="00377673" w:rsidRPr="00372C6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p>
    <w:p w14:paraId="3CCDC8A6" w14:textId="49E8CAA7" w:rsidR="00550AAC" w:rsidRPr="00372C6B" w:rsidRDefault="00550AAC" w:rsidP="00377673">
      <w:pPr>
        <w:jc w:val="center"/>
        <w:rPr>
          <w:rFonts w:ascii="Calibri" w:hAnsi="Calibri" w:cs="Calibri"/>
          <w:b/>
          <w:bCs/>
          <w:i/>
          <w:iCs/>
          <w:sz w:val="28"/>
          <w:szCs w:val="28"/>
        </w:rPr>
      </w:pPr>
      <w:r w:rsidRPr="00372C6B">
        <w:rPr>
          <w:rFonts w:ascii="Calibri" w:hAnsi="Calibri" w:cs="Calibri"/>
          <w:b/>
          <w:bCs/>
          <w:i/>
          <w:iCs/>
          <w:sz w:val="28"/>
          <w:szCs w:val="28"/>
        </w:rPr>
        <w:lastRenderedPageBreak/>
        <w:t>Task Force Co-Leads</w:t>
      </w:r>
    </w:p>
    <w:p w14:paraId="73EA939E" w14:textId="3AE104CB" w:rsidR="00550AAC" w:rsidRPr="00372C6B" w:rsidRDefault="00550AAC" w:rsidP="00377673">
      <w:pPr>
        <w:jc w:val="center"/>
        <w:rPr>
          <w:rFonts w:ascii="Calibri" w:hAnsi="Calibri" w:cs="Calibri"/>
        </w:rPr>
      </w:pPr>
      <w:r w:rsidRPr="00372C6B">
        <w:rPr>
          <w:rFonts w:ascii="Calibri" w:hAnsi="Calibri" w:cs="Calibri"/>
        </w:rPr>
        <w:t xml:space="preserve">Michael Nugent, Kevin Ostash, Jared Tarr, </w:t>
      </w:r>
      <w:r w:rsidRPr="00372C6B">
        <w:rPr>
          <w:rFonts w:ascii="Calibri" w:hAnsi="Calibri" w:cs="Calibri"/>
        </w:rPr>
        <w:br/>
        <w:t>Marianna Vaiman, and Vaithianath Venkatasubramanian</w:t>
      </w:r>
    </w:p>
    <w:p w14:paraId="1F0EA801" w14:textId="77777777" w:rsidR="00F52E36" w:rsidRPr="00372C6B" w:rsidRDefault="00F52E36" w:rsidP="00377673">
      <w:pPr>
        <w:jc w:val="center"/>
        <w:rPr>
          <w:rFonts w:ascii="Calibri" w:hAnsi="Calibri" w:cs="Calibri"/>
        </w:rPr>
      </w:pPr>
    </w:p>
    <w:p w14:paraId="70773EBB" w14:textId="3D97642B" w:rsidR="00377673" w:rsidRPr="00372C6B" w:rsidRDefault="00377673" w:rsidP="00377673">
      <w:pPr>
        <w:jc w:val="center"/>
        <w:rPr>
          <w:rFonts w:ascii="Calibri" w:hAnsi="Calibri" w:cs="Calibri"/>
          <w:b/>
          <w:bCs/>
          <w:i/>
          <w:iCs/>
          <w:sz w:val="28"/>
          <w:szCs w:val="28"/>
        </w:rPr>
      </w:pPr>
      <w:r w:rsidRPr="00372C6B">
        <w:rPr>
          <w:rFonts w:ascii="Calibri" w:hAnsi="Calibri" w:cs="Calibri"/>
          <w:b/>
          <w:bCs/>
          <w:i/>
          <w:iCs/>
          <w:sz w:val="28"/>
          <w:szCs w:val="28"/>
        </w:rPr>
        <w:t>Task Force Members and Co-Authors:</w:t>
      </w:r>
    </w:p>
    <w:tbl>
      <w:tblPr>
        <w:tblStyle w:val="TableGrid"/>
        <w:tblW w:w="0" w:type="auto"/>
        <w:tblLook w:val="04A0" w:firstRow="1" w:lastRow="0" w:firstColumn="1" w:lastColumn="0" w:noHBand="0" w:noVBand="1"/>
      </w:tblPr>
      <w:tblGrid>
        <w:gridCol w:w="4675"/>
        <w:gridCol w:w="4675"/>
      </w:tblGrid>
      <w:tr w:rsidR="00550AAC" w:rsidRPr="00372C6B" w14:paraId="7A892C55" w14:textId="77777777" w:rsidTr="00C15757">
        <w:tc>
          <w:tcPr>
            <w:tcW w:w="4675" w:type="dxa"/>
          </w:tcPr>
          <w:p w14:paraId="3830B117" w14:textId="45712FAA" w:rsidR="00550AAC" w:rsidRPr="00372C6B" w:rsidRDefault="00550AAC" w:rsidP="00C15757">
            <w:pPr>
              <w:jc w:val="center"/>
              <w:rPr>
                <w:rFonts w:ascii="Calibri" w:hAnsi="Calibri" w:cs="Calibri"/>
              </w:rPr>
            </w:pPr>
            <w:r w:rsidRPr="00372C6B">
              <w:rPr>
                <w:rFonts w:ascii="Calibri" w:hAnsi="Calibri" w:cs="Calibri"/>
              </w:rPr>
              <w:t>Nazra Gladu</w:t>
            </w:r>
          </w:p>
        </w:tc>
        <w:tc>
          <w:tcPr>
            <w:tcW w:w="4675" w:type="dxa"/>
          </w:tcPr>
          <w:p w14:paraId="3F0694D9" w14:textId="7B7678C6" w:rsidR="00550AAC" w:rsidRPr="00372C6B" w:rsidRDefault="00550AAC" w:rsidP="00C15757">
            <w:pPr>
              <w:jc w:val="center"/>
              <w:rPr>
                <w:rFonts w:ascii="Calibri" w:hAnsi="Calibri" w:cs="Calibri"/>
              </w:rPr>
            </w:pPr>
            <w:r w:rsidRPr="00372C6B">
              <w:rPr>
                <w:rFonts w:ascii="Calibri" w:hAnsi="Calibri" w:cs="Calibri"/>
              </w:rPr>
              <w:t>Manitoba Hydro</w:t>
            </w:r>
          </w:p>
        </w:tc>
      </w:tr>
      <w:tr w:rsidR="00377673" w:rsidRPr="00372C6B" w14:paraId="796957A1" w14:textId="77777777" w:rsidTr="00C15757">
        <w:tc>
          <w:tcPr>
            <w:tcW w:w="4675" w:type="dxa"/>
          </w:tcPr>
          <w:p w14:paraId="692B2547" w14:textId="0E0BBEB0" w:rsidR="00377673" w:rsidRPr="00372C6B" w:rsidRDefault="00377673" w:rsidP="00C15757">
            <w:pPr>
              <w:jc w:val="center"/>
              <w:rPr>
                <w:rFonts w:ascii="Calibri" w:hAnsi="Calibri" w:cs="Calibri"/>
              </w:rPr>
            </w:pPr>
            <w:r w:rsidRPr="00372C6B">
              <w:rPr>
                <w:rFonts w:ascii="Calibri" w:hAnsi="Calibri" w:cs="Calibri"/>
              </w:rPr>
              <w:t>Damir Novosel</w:t>
            </w:r>
          </w:p>
        </w:tc>
        <w:tc>
          <w:tcPr>
            <w:tcW w:w="4675" w:type="dxa"/>
          </w:tcPr>
          <w:p w14:paraId="3741FBE5" w14:textId="298E6E1F" w:rsidR="00377673" w:rsidRPr="00372C6B" w:rsidRDefault="00377673" w:rsidP="00C15757">
            <w:pPr>
              <w:jc w:val="center"/>
              <w:rPr>
                <w:rFonts w:ascii="Calibri" w:hAnsi="Calibri" w:cs="Calibri"/>
              </w:rPr>
            </w:pPr>
            <w:r w:rsidRPr="00372C6B">
              <w:rPr>
                <w:rFonts w:ascii="Calibri" w:hAnsi="Calibri" w:cs="Calibri"/>
              </w:rPr>
              <w:t>Dash Power Partners</w:t>
            </w:r>
          </w:p>
        </w:tc>
      </w:tr>
      <w:tr w:rsidR="00377673" w:rsidRPr="00372C6B" w14:paraId="2EA5F703" w14:textId="77777777" w:rsidTr="00C15757">
        <w:tc>
          <w:tcPr>
            <w:tcW w:w="4675" w:type="dxa"/>
          </w:tcPr>
          <w:p w14:paraId="5953BAB7" w14:textId="68AEEB25" w:rsidR="00377673" w:rsidRPr="00372C6B" w:rsidRDefault="00377673" w:rsidP="00C15757">
            <w:pPr>
              <w:jc w:val="center"/>
              <w:rPr>
                <w:rFonts w:ascii="Calibri" w:hAnsi="Calibri" w:cs="Calibri"/>
              </w:rPr>
            </w:pPr>
            <w:r w:rsidRPr="00372C6B">
              <w:rPr>
                <w:rFonts w:ascii="Calibri" w:hAnsi="Calibri" w:cs="Calibri"/>
              </w:rPr>
              <w:t>Michael Nugent</w:t>
            </w:r>
          </w:p>
        </w:tc>
        <w:tc>
          <w:tcPr>
            <w:tcW w:w="4675" w:type="dxa"/>
          </w:tcPr>
          <w:p w14:paraId="7C2EE8CD" w14:textId="1B1EC35F" w:rsidR="00377673" w:rsidRPr="00372C6B" w:rsidRDefault="00377673" w:rsidP="00C15757">
            <w:pPr>
              <w:jc w:val="center"/>
              <w:rPr>
                <w:rFonts w:ascii="Calibri" w:hAnsi="Calibri" w:cs="Calibri"/>
              </w:rPr>
            </w:pPr>
            <w:r w:rsidRPr="00372C6B">
              <w:rPr>
                <w:rFonts w:ascii="Calibri" w:hAnsi="Calibri" w:cs="Calibri"/>
              </w:rPr>
              <w:t>NextEra Energy</w:t>
            </w:r>
          </w:p>
        </w:tc>
      </w:tr>
      <w:tr w:rsidR="00550AAC" w:rsidRPr="00372C6B" w14:paraId="5E4D81F4" w14:textId="77777777" w:rsidTr="00C15757">
        <w:tc>
          <w:tcPr>
            <w:tcW w:w="4675" w:type="dxa"/>
          </w:tcPr>
          <w:p w14:paraId="634C062A" w14:textId="223AFC02" w:rsidR="00550AAC" w:rsidRPr="00372C6B" w:rsidRDefault="00550AAC" w:rsidP="00550AAC">
            <w:pPr>
              <w:jc w:val="center"/>
              <w:rPr>
                <w:rFonts w:ascii="Calibri" w:hAnsi="Calibri" w:cs="Calibri"/>
              </w:rPr>
            </w:pPr>
            <w:r w:rsidRPr="00372C6B">
              <w:rPr>
                <w:rFonts w:ascii="Calibri" w:hAnsi="Calibri" w:cs="Calibri"/>
              </w:rPr>
              <w:t>Kevin Ostash</w:t>
            </w:r>
          </w:p>
        </w:tc>
        <w:tc>
          <w:tcPr>
            <w:tcW w:w="4675" w:type="dxa"/>
          </w:tcPr>
          <w:p w14:paraId="76957244" w14:textId="4BE28BAD" w:rsidR="00550AAC" w:rsidRPr="00372C6B" w:rsidRDefault="00550AAC" w:rsidP="00550AAC">
            <w:pPr>
              <w:jc w:val="center"/>
              <w:rPr>
                <w:rFonts w:ascii="Calibri" w:hAnsi="Calibri" w:cs="Calibri"/>
              </w:rPr>
            </w:pPr>
            <w:r w:rsidRPr="00372C6B">
              <w:rPr>
                <w:rFonts w:ascii="Calibri" w:hAnsi="Calibri" w:cs="Calibri"/>
              </w:rPr>
              <w:t>Manitoba Hydro</w:t>
            </w:r>
          </w:p>
        </w:tc>
      </w:tr>
      <w:tr w:rsidR="00F52E36" w:rsidRPr="00372C6B" w14:paraId="774D7D8D" w14:textId="77777777" w:rsidTr="00C15757">
        <w:tc>
          <w:tcPr>
            <w:tcW w:w="4675" w:type="dxa"/>
          </w:tcPr>
          <w:p w14:paraId="6519C563" w14:textId="79263206" w:rsidR="00F52E36" w:rsidRPr="00372C6B" w:rsidRDefault="00F52E36" w:rsidP="00550AAC">
            <w:pPr>
              <w:jc w:val="center"/>
              <w:rPr>
                <w:rFonts w:ascii="Calibri" w:hAnsi="Calibri" w:cs="Calibri"/>
              </w:rPr>
            </w:pPr>
            <w:r w:rsidRPr="00372C6B">
              <w:rPr>
                <w:rFonts w:ascii="Calibri" w:hAnsi="Calibri" w:cs="Calibri"/>
              </w:rPr>
              <w:t>Diego Rodriguez</w:t>
            </w:r>
          </w:p>
        </w:tc>
        <w:tc>
          <w:tcPr>
            <w:tcW w:w="4675" w:type="dxa"/>
          </w:tcPr>
          <w:p w14:paraId="28B65E54" w14:textId="6302F6F7" w:rsidR="00F52E36" w:rsidRPr="00372C6B" w:rsidRDefault="00F52E36" w:rsidP="00550AAC">
            <w:pPr>
              <w:jc w:val="center"/>
              <w:rPr>
                <w:rFonts w:ascii="Calibri" w:hAnsi="Calibri" w:cs="Calibri"/>
              </w:rPr>
            </w:pPr>
            <w:r w:rsidRPr="00372C6B">
              <w:rPr>
                <w:rFonts w:ascii="Calibri" w:hAnsi="Calibri" w:cs="Calibri"/>
              </w:rPr>
              <w:t>Reactive Techno</w:t>
            </w:r>
            <w:r w:rsidR="00F44FE2">
              <w:rPr>
                <w:rFonts w:ascii="Calibri" w:hAnsi="Calibri" w:cs="Calibri"/>
              </w:rPr>
              <w:t>l</w:t>
            </w:r>
            <w:r w:rsidRPr="00372C6B">
              <w:rPr>
                <w:rFonts w:ascii="Calibri" w:hAnsi="Calibri" w:cs="Calibri"/>
              </w:rPr>
              <w:t>ogies</w:t>
            </w:r>
          </w:p>
        </w:tc>
      </w:tr>
      <w:tr w:rsidR="00550AAC" w:rsidRPr="00372C6B" w14:paraId="4DA1D09A" w14:textId="77777777" w:rsidTr="00C15757">
        <w:tc>
          <w:tcPr>
            <w:tcW w:w="4675" w:type="dxa"/>
          </w:tcPr>
          <w:p w14:paraId="3001EF5B" w14:textId="46209A97" w:rsidR="00550AAC" w:rsidRPr="00372C6B" w:rsidRDefault="00550AAC" w:rsidP="00550AAC">
            <w:pPr>
              <w:jc w:val="center"/>
              <w:rPr>
                <w:rFonts w:ascii="Calibri" w:hAnsi="Calibri" w:cs="Calibri"/>
              </w:rPr>
            </w:pPr>
            <w:r w:rsidRPr="00372C6B">
              <w:rPr>
                <w:rFonts w:ascii="Calibri" w:hAnsi="Calibri" w:cs="Calibri"/>
              </w:rPr>
              <w:t>Jared Tarr</w:t>
            </w:r>
          </w:p>
        </w:tc>
        <w:tc>
          <w:tcPr>
            <w:tcW w:w="4675" w:type="dxa"/>
          </w:tcPr>
          <w:p w14:paraId="5548318D" w14:textId="7E1CAF3A" w:rsidR="00550AAC" w:rsidRPr="00372C6B" w:rsidRDefault="00550AAC" w:rsidP="00550AAC">
            <w:pPr>
              <w:jc w:val="center"/>
              <w:rPr>
                <w:rFonts w:ascii="Calibri" w:hAnsi="Calibri" w:cs="Calibri"/>
              </w:rPr>
            </w:pPr>
            <w:r w:rsidRPr="00372C6B">
              <w:rPr>
                <w:rFonts w:ascii="Calibri" w:hAnsi="Calibri" w:cs="Calibri"/>
              </w:rPr>
              <w:t>Manitoba Hydro</w:t>
            </w:r>
          </w:p>
        </w:tc>
      </w:tr>
      <w:tr w:rsidR="00550AAC" w:rsidRPr="00372C6B" w14:paraId="5BCE5B07" w14:textId="77777777" w:rsidTr="00C15757">
        <w:tc>
          <w:tcPr>
            <w:tcW w:w="4675" w:type="dxa"/>
          </w:tcPr>
          <w:p w14:paraId="53CC90BE" w14:textId="596F5438" w:rsidR="00550AAC" w:rsidRPr="00372C6B" w:rsidRDefault="00550AAC" w:rsidP="00550AAC">
            <w:pPr>
              <w:jc w:val="center"/>
              <w:rPr>
                <w:rFonts w:ascii="Calibri" w:hAnsi="Calibri" w:cs="Calibri"/>
              </w:rPr>
            </w:pPr>
            <w:r w:rsidRPr="00372C6B">
              <w:rPr>
                <w:rFonts w:ascii="Calibri" w:hAnsi="Calibri" w:cs="Calibri"/>
              </w:rPr>
              <w:t>Marianna Vaiman</w:t>
            </w:r>
          </w:p>
        </w:tc>
        <w:tc>
          <w:tcPr>
            <w:tcW w:w="4675" w:type="dxa"/>
          </w:tcPr>
          <w:p w14:paraId="69D998F8" w14:textId="5F1C77C2" w:rsidR="00550AAC" w:rsidRPr="00372C6B" w:rsidRDefault="00550AAC" w:rsidP="00550AAC">
            <w:pPr>
              <w:jc w:val="center"/>
              <w:rPr>
                <w:rFonts w:ascii="Calibri" w:hAnsi="Calibri" w:cs="Calibri"/>
              </w:rPr>
            </w:pPr>
            <w:r w:rsidRPr="00372C6B">
              <w:rPr>
                <w:rFonts w:ascii="Calibri" w:hAnsi="Calibri" w:cs="Calibri"/>
              </w:rPr>
              <w:t>V&amp;R Energy</w:t>
            </w:r>
          </w:p>
        </w:tc>
      </w:tr>
      <w:tr w:rsidR="00550AAC" w:rsidRPr="00372C6B" w14:paraId="32BA236B" w14:textId="77777777" w:rsidTr="00C15757">
        <w:tc>
          <w:tcPr>
            <w:tcW w:w="4675" w:type="dxa"/>
          </w:tcPr>
          <w:p w14:paraId="1686FBD4" w14:textId="23C1A936" w:rsidR="00550AAC" w:rsidRPr="00372C6B" w:rsidRDefault="00550AAC" w:rsidP="00550AAC">
            <w:pPr>
              <w:jc w:val="center"/>
              <w:rPr>
                <w:rFonts w:ascii="Calibri" w:hAnsi="Calibri" w:cs="Calibri"/>
              </w:rPr>
            </w:pPr>
            <w:r w:rsidRPr="00372C6B">
              <w:rPr>
                <w:rFonts w:ascii="Calibri" w:hAnsi="Calibri" w:cs="Calibri"/>
              </w:rPr>
              <w:t>Vaithianath Venkatasubramanian</w:t>
            </w:r>
          </w:p>
        </w:tc>
        <w:tc>
          <w:tcPr>
            <w:tcW w:w="4675" w:type="dxa"/>
          </w:tcPr>
          <w:p w14:paraId="5377B727" w14:textId="6000CDCD" w:rsidR="00550AAC" w:rsidRPr="00372C6B" w:rsidRDefault="00550AAC" w:rsidP="00550AAC">
            <w:pPr>
              <w:jc w:val="center"/>
              <w:rPr>
                <w:rFonts w:ascii="Calibri" w:hAnsi="Calibri" w:cs="Calibri"/>
              </w:rPr>
            </w:pPr>
            <w:r w:rsidRPr="00372C6B">
              <w:rPr>
                <w:rFonts w:ascii="Calibri" w:hAnsi="Calibri" w:cs="Calibri"/>
              </w:rPr>
              <w:t>Washington State University</w:t>
            </w:r>
          </w:p>
        </w:tc>
      </w:tr>
      <w:tr w:rsidR="00550AAC" w:rsidRPr="00372C6B" w14:paraId="517792AF" w14:textId="77777777" w:rsidTr="00C15757">
        <w:tc>
          <w:tcPr>
            <w:tcW w:w="4675" w:type="dxa"/>
          </w:tcPr>
          <w:p w14:paraId="29ED87F4" w14:textId="12CD57CC" w:rsidR="00550AAC" w:rsidRPr="00372C6B" w:rsidRDefault="00550AAC" w:rsidP="00550AAC">
            <w:pPr>
              <w:jc w:val="center"/>
              <w:rPr>
                <w:rFonts w:ascii="Calibri" w:hAnsi="Calibri" w:cs="Calibri"/>
              </w:rPr>
            </w:pPr>
          </w:p>
        </w:tc>
        <w:tc>
          <w:tcPr>
            <w:tcW w:w="4675" w:type="dxa"/>
          </w:tcPr>
          <w:p w14:paraId="18856B71" w14:textId="0D18FDCD" w:rsidR="00550AAC" w:rsidRPr="00372C6B" w:rsidRDefault="00550AAC" w:rsidP="00550AAC">
            <w:pPr>
              <w:jc w:val="center"/>
              <w:rPr>
                <w:rFonts w:ascii="Calibri" w:hAnsi="Calibri" w:cs="Calibri"/>
              </w:rPr>
            </w:pPr>
          </w:p>
        </w:tc>
      </w:tr>
    </w:tbl>
    <w:p w14:paraId="6AC5F0DC" w14:textId="77777777" w:rsidR="00377673" w:rsidRPr="00372C6B" w:rsidRDefault="00377673" w:rsidP="00377673">
      <w:pPr>
        <w:rPr>
          <w:rFonts w:ascii="Calibri" w:hAnsi="Calibri" w:cs="Calibri"/>
        </w:rPr>
      </w:pPr>
    </w:p>
    <w:p w14:paraId="50881AE9" w14:textId="77777777" w:rsidR="00377673" w:rsidRPr="00372C6B" w:rsidRDefault="00377673" w:rsidP="00377673">
      <w:pPr>
        <w:rPr>
          <w:rFonts w:ascii="Calibri" w:hAnsi="Calibri" w:cs="Calibri"/>
        </w:rPr>
      </w:pPr>
    </w:p>
    <w:p w14:paraId="4F823661" w14:textId="17D9D3A9" w:rsidR="00F52E36" w:rsidRPr="00372C6B" w:rsidRDefault="00F52E36" w:rsidP="00F52E36">
      <w:pPr>
        <w:jc w:val="center"/>
        <w:rPr>
          <w:rFonts w:ascii="Calibri" w:hAnsi="Calibri" w:cs="Calibri"/>
          <w:b/>
          <w:bCs/>
          <w:i/>
          <w:iCs/>
          <w:sz w:val="28"/>
          <w:szCs w:val="28"/>
        </w:rPr>
      </w:pPr>
      <w:r w:rsidRPr="00372C6B">
        <w:rPr>
          <w:rFonts w:ascii="Calibri" w:hAnsi="Calibri" w:cs="Calibri"/>
          <w:b/>
          <w:bCs/>
          <w:i/>
          <w:iCs/>
          <w:sz w:val="28"/>
          <w:szCs w:val="28"/>
        </w:rPr>
        <w:t>Acknowledgment of Other</w:t>
      </w:r>
      <w:r w:rsidR="007F2086" w:rsidRPr="00372C6B">
        <w:rPr>
          <w:rFonts w:ascii="Calibri" w:hAnsi="Calibri" w:cs="Calibri"/>
          <w:b/>
          <w:bCs/>
          <w:i/>
          <w:iCs/>
          <w:sz w:val="28"/>
          <w:szCs w:val="28"/>
        </w:rPr>
        <w:t xml:space="preserve"> Key</w:t>
      </w:r>
      <w:r w:rsidRPr="00372C6B">
        <w:rPr>
          <w:rFonts w:ascii="Calibri" w:hAnsi="Calibri" w:cs="Calibri"/>
          <w:b/>
          <w:bCs/>
          <w:i/>
          <w:iCs/>
          <w:sz w:val="28"/>
          <w:szCs w:val="28"/>
        </w:rPr>
        <w:t xml:space="preserve"> Contributors:</w:t>
      </w:r>
    </w:p>
    <w:tbl>
      <w:tblPr>
        <w:tblStyle w:val="TableGrid"/>
        <w:tblW w:w="0" w:type="auto"/>
        <w:tblLook w:val="04A0" w:firstRow="1" w:lastRow="0" w:firstColumn="1" w:lastColumn="0" w:noHBand="0" w:noVBand="1"/>
      </w:tblPr>
      <w:tblGrid>
        <w:gridCol w:w="4675"/>
        <w:gridCol w:w="4675"/>
      </w:tblGrid>
      <w:tr w:rsidR="00164227" w:rsidRPr="00372C6B" w14:paraId="2718C9C7" w14:textId="77777777" w:rsidTr="00C15757">
        <w:tc>
          <w:tcPr>
            <w:tcW w:w="4675" w:type="dxa"/>
          </w:tcPr>
          <w:p w14:paraId="18BEFF5F" w14:textId="3757B7FA" w:rsidR="00164227" w:rsidRPr="00372C6B" w:rsidRDefault="00164227" w:rsidP="00C15757">
            <w:pPr>
              <w:jc w:val="center"/>
              <w:rPr>
                <w:rFonts w:ascii="Calibri" w:hAnsi="Calibri" w:cs="Calibri"/>
              </w:rPr>
            </w:pPr>
            <w:r>
              <w:rPr>
                <w:rFonts w:ascii="Calibri" w:hAnsi="Calibri" w:cs="Calibri"/>
              </w:rPr>
              <w:t>Anjan Bose</w:t>
            </w:r>
          </w:p>
        </w:tc>
        <w:tc>
          <w:tcPr>
            <w:tcW w:w="4675" w:type="dxa"/>
          </w:tcPr>
          <w:p w14:paraId="7257A318" w14:textId="25977E0A" w:rsidR="00164227" w:rsidRPr="00372C6B" w:rsidRDefault="00164227" w:rsidP="00C15757">
            <w:pPr>
              <w:jc w:val="center"/>
              <w:rPr>
                <w:rFonts w:ascii="Calibri" w:hAnsi="Calibri" w:cs="Calibri"/>
              </w:rPr>
            </w:pPr>
            <w:r w:rsidRPr="00372C6B">
              <w:rPr>
                <w:rFonts w:ascii="Calibri" w:hAnsi="Calibri" w:cs="Calibri"/>
              </w:rPr>
              <w:t>Washington State University</w:t>
            </w:r>
          </w:p>
        </w:tc>
      </w:tr>
      <w:tr w:rsidR="00F52E36" w:rsidRPr="00372C6B" w14:paraId="27740A2F" w14:textId="77777777" w:rsidTr="00C15757">
        <w:tc>
          <w:tcPr>
            <w:tcW w:w="4675" w:type="dxa"/>
          </w:tcPr>
          <w:p w14:paraId="516CF9CF" w14:textId="297FB088" w:rsidR="00F52E36" w:rsidRPr="00372C6B" w:rsidRDefault="008E1045" w:rsidP="00C15757">
            <w:pPr>
              <w:jc w:val="center"/>
              <w:rPr>
                <w:rFonts w:ascii="Calibri" w:hAnsi="Calibri" w:cs="Calibri"/>
              </w:rPr>
            </w:pPr>
            <w:r w:rsidRPr="00372C6B">
              <w:rPr>
                <w:rFonts w:ascii="Calibri" w:hAnsi="Calibri" w:cs="Calibri"/>
              </w:rPr>
              <w:t>Arthur Do Carmo Mouco</w:t>
            </w:r>
          </w:p>
        </w:tc>
        <w:tc>
          <w:tcPr>
            <w:tcW w:w="4675" w:type="dxa"/>
          </w:tcPr>
          <w:p w14:paraId="5CB85A7B" w14:textId="5050C472" w:rsidR="00F52E36" w:rsidRPr="00372C6B" w:rsidRDefault="009431FE" w:rsidP="00C15757">
            <w:pPr>
              <w:jc w:val="center"/>
              <w:rPr>
                <w:rFonts w:ascii="Calibri" w:hAnsi="Calibri" w:cs="Calibri"/>
              </w:rPr>
            </w:pPr>
            <w:r>
              <w:rPr>
                <w:rFonts w:ascii="Calibri" w:hAnsi="Calibri" w:cs="Calibri"/>
              </w:rPr>
              <w:t xml:space="preserve">ONS, </w:t>
            </w:r>
            <w:r w:rsidR="008E1045" w:rsidRPr="00372C6B">
              <w:rPr>
                <w:rFonts w:ascii="Calibri" w:hAnsi="Calibri" w:cs="Calibri"/>
              </w:rPr>
              <w:t>Brazil</w:t>
            </w:r>
          </w:p>
        </w:tc>
      </w:tr>
      <w:tr w:rsidR="00F52E36" w:rsidRPr="00372C6B" w14:paraId="2CE94A99" w14:textId="77777777" w:rsidTr="00C15757">
        <w:tc>
          <w:tcPr>
            <w:tcW w:w="4675" w:type="dxa"/>
          </w:tcPr>
          <w:p w14:paraId="29B77D53" w14:textId="44B98564" w:rsidR="00F52E36" w:rsidRPr="00372C6B" w:rsidRDefault="00734C7D" w:rsidP="00C15757">
            <w:pPr>
              <w:jc w:val="center"/>
              <w:rPr>
                <w:rFonts w:ascii="Calibri" w:hAnsi="Calibri" w:cs="Calibri"/>
              </w:rPr>
            </w:pPr>
            <w:r w:rsidRPr="00372C6B">
              <w:rPr>
                <w:rFonts w:ascii="Calibri" w:hAnsi="Calibri" w:cs="Calibri"/>
              </w:rPr>
              <w:t>Dean Sharafi</w:t>
            </w:r>
          </w:p>
        </w:tc>
        <w:tc>
          <w:tcPr>
            <w:tcW w:w="4675" w:type="dxa"/>
          </w:tcPr>
          <w:p w14:paraId="7F4FA13B" w14:textId="00271DCE" w:rsidR="00F52E36" w:rsidRPr="00372C6B" w:rsidRDefault="00734C7D" w:rsidP="00C15757">
            <w:pPr>
              <w:jc w:val="center"/>
              <w:rPr>
                <w:rFonts w:ascii="Calibri" w:hAnsi="Calibri" w:cs="Calibri"/>
              </w:rPr>
            </w:pPr>
            <w:r w:rsidRPr="00372C6B">
              <w:rPr>
                <w:rFonts w:ascii="Calibri" w:hAnsi="Calibri" w:cs="Calibri"/>
              </w:rPr>
              <w:t>Australian Energy Market Operator</w:t>
            </w:r>
          </w:p>
        </w:tc>
      </w:tr>
      <w:tr w:rsidR="00F52E36" w:rsidRPr="00372C6B" w14:paraId="1B88A982" w14:textId="77777777" w:rsidTr="00C15757">
        <w:tc>
          <w:tcPr>
            <w:tcW w:w="4675" w:type="dxa"/>
          </w:tcPr>
          <w:p w14:paraId="0CDF944B" w14:textId="7D48B378" w:rsidR="00F52E36" w:rsidRPr="00372C6B" w:rsidRDefault="00CA458D" w:rsidP="00C15757">
            <w:pPr>
              <w:jc w:val="center"/>
              <w:rPr>
                <w:rFonts w:ascii="Calibri" w:hAnsi="Calibri" w:cs="Calibri"/>
              </w:rPr>
            </w:pPr>
            <w:r w:rsidRPr="00CA458D">
              <w:rPr>
                <w:rFonts w:ascii="Calibri" w:hAnsi="Calibri" w:cs="Calibri"/>
              </w:rPr>
              <w:t>Luke Robinson</w:t>
            </w:r>
          </w:p>
        </w:tc>
        <w:tc>
          <w:tcPr>
            <w:tcW w:w="4675" w:type="dxa"/>
          </w:tcPr>
          <w:p w14:paraId="7848CA5F" w14:textId="5C94582C" w:rsidR="00F52E36" w:rsidRPr="00372C6B" w:rsidRDefault="00CA458D" w:rsidP="00C15757">
            <w:pPr>
              <w:jc w:val="center"/>
              <w:rPr>
                <w:rFonts w:ascii="Calibri" w:hAnsi="Calibri" w:cs="Calibri"/>
              </w:rPr>
            </w:pPr>
            <w:r w:rsidRPr="00372C6B">
              <w:rPr>
                <w:rFonts w:ascii="Calibri" w:hAnsi="Calibri" w:cs="Calibri"/>
              </w:rPr>
              <w:t>Australian Energy Market Operator</w:t>
            </w:r>
          </w:p>
        </w:tc>
      </w:tr>
      <w:tr w:rsidR="00F52E36" w:rsidRPr="00372C6B" w14:paraId="49DFD443" w14:textId="77777777" w:rsidTr="00C15757">
        <w:tc>
          <w:tcPr>
            <w:tcW w:w="4675" w:type="dxa"/>
          </w:tcPr>
          <w:p w14:paraId="64DB919A" w14:textId="5848B4D4" w:rsidR="00F52E36" w:rsidRPr="00372C6B" w:rsidRDefault="00F52E36" w:rsidP="00C15757">
            <w:pPr>
              <w:jc w:val="center"/>
              <w:rPr>
                <w:rFonts w:ascii="Calibri" w:hAnsi="Calibri" w:cs="Calibri"/>
              </w:rPr>
            </w:pPr>
          </w:p>
        </w:tc>
        <w:tc>
          <w:tcPr>
            <w:tcW w:w="4675" w:type="dxa"/>
          </w:tcPr>
          <w:p w14:paraId="566DB5AF" w14:textId="645627FB" w:rsidR="00F52E36" w:rsidRPr="00372C6B" w:rsidRDefault="00F52E36" w:rsidP="00C15757">
            <w:pPr>
              <w:jc w:val="center"/>
              <w:rPr>
                <w:rFonts w:ascii="Calibri" w:hAnsi="Calibri" w:cs="Calibri"/>
              </w:rPr>
            </w:pPr>
          </w:p>
        </w:tc>
      </w:tr>
      <w:tr w:rsidR="00F52E36" w:rsidRPr="00372C6B" w14:paraId="2A449144" w14:textId="77777777" w:rsidTr="00C15757">
        <w:tc>
          <w:tcPr>
            <w:tcW w:w="4675" w:type="dxa"/>
          </w:tcPr>
          <w:p w14:paraId="2ADEF871" w14:textId="65FE0424" w:rsidR="00F52E36" w:rsidRPr="00372C6B" w:rsidRDefault="00F52E36" w:rsidP="00C15757">
            <w:pPr>
              <w:jc w:val="center"/>
              <w:rPr>
                <w:rFonts w:ascii="Calibri" w:hAnsi="Calibri" w:cs="Calibri"/>
              </w:rPr>
            </w:pPr>
          </w:p>
        </w:tc>
        <w:tc>
          <w:tcPr>
            <w:tcW w:w="4675" w:type="dxa"/>
          </w:tcPr>
          <w:p w14:paraId="46EDC252" w14:textId="784E1163" w:rsidR="00F52E36" w:rsidRPr="00372C6B" w:rsidRDefault="00F52E36" w:rsidP="00C15757">
            <w:pPr>
              <w:jc w:val="center"/>
              <w:rPr>
                <w:rFonts w:ascii="Calibri" w:hAnsi="Calibri" w:cs="Calibri"/>
              </w:rPr>
            </w:pPr>
          </w:p>
        </w:tc>
      </w:tr>
      <w:tr w:rsidR="00F52E36" w:rsidRPr="00372C6B" w14:paraId="1C2D664A" w14:textId="77777777" w:rsidTr="00C15757">
        <w:tc>
          <w:tcPr>
            <w:tcW w:w="4675" w:type="dxa"/>
          </w:tcPr>
          <w:p w14:paraId="2385B080" w14:textId="40442937" w:rsidR="00F52E36" w:rsidRPr="00372C6B" w:rsidRDefault="00F52E36" w:rsidP="00C15757">
            <w:pPr>
              <w:jc w:val="center"/>
              <w:rPr>
                <w:rFonts w:ascii="Calibri" w:hAnsi="Calibri" w:cs="Calibri"/>
              </w:rPr>
            </w:pPr>
          </w:p>
        </w:tc>
        <w:tc>
          <w:tcPr>
            <w:tcW w:w="4675" w:type="dxa"/>
          </w:tcPr>
          <w:p w14:paraId="5AD0ED53" w14:textId="5CF1B89C" w:rsidR="00F52E36" w:rsidRPr="00372C6B" w:rsidRDefault="00F52E36" w:rsidP="00C15757">
            <w:pPr>
              <w:jc w:val="center"/>
              <w:rPr>
                <w:rFonts w:ascii="Calibri" w:hAnsi="Calibri" w:cs="Calibri"/>
              </w:rPr>
            </w:pPr>
          </w:p>
        </w:tc>
      </w:tr>
      <w:tr w:rsidR="00F52E36" w:rsidRPr="00372C6B" w14:paraId="68DE637B" w14:textId="77777777" w:rsidTr="00C15757">
        <w:tc>
          <w:tcPr>
            <w:tcW w:w="4675" w:type="dxa"/>
          </w:tcPr>
          <w:p w14:paraId="14B9F642" w14:textId="71062199" w:rsidR="00F52E36" w:rsidRPr="00372C6B" w:rsidRDefault="00F52E36" w:rsidP="00C15757">
            <w:pPr>
              <w:jc w:val="center"/>
              <w:rPr>
                <w:rFonts w:ascii="Calibri" w:hAnsi="Calibri" w:cs="Calibri"/>
              </w:rPr>
            </w:pPr>
          </w:p>
        </w:tc>
        <w:tc>
          <w:tcPr>
            <w:tcW w:w="4675" w:type="dxa"/>
          </w:tcPr>
          <w:p w14:paraId="3D28FF7E" w14:textId="11EDF614" w:rsidR="00F52E36" w:rsidRPr="00372C6B" w:rsidRDefault="00F52E36" w:rsidP="00C15757">
            <w:pPr>
              <w:jc w:val="center"/>
              <w:rPr>
                <w:rFonts w:ascii="Calibri" w:hAnsi="Calibri" w:cs="Calibri"/>
              </w:rPr>
            </w:pPr>
          </w:p>
        </w:tc>
      </w:tr>
      <w:tr w:rsidR="00F52E36" w:rsidRPr="00372C6B" w14:paraId="4A3719D9" w14:textId="77777777" w:rsidTr="00C15757">
        <w:tc>
          <w:tcPr>
            <w:tcW w:w="4675" w:type="dxa"/>
          </w:tcPr>
          <w:p w14:paraId="369B564D" w14:textId="2D990987" w:rsidR="00F52E36" w:rsidRPr="00372C6B" w:rsidRDefault="00F52E36" w:rsidP="00C15757">
            <w:pPr>
              <w:jc w:val="center"/>
              <w:rPr>
                <w:rFonts w:ascii="Calibri" w:hAnsi="Calibri" w:cs="Calibri"/>
              </w:rPr>
            </w:pPr>
          </w:p>
        </w:tc>
        <w:tc>
          <w:tcPr>
            <w:tcW w:w="4675" w:type="dxa"/>
          </w:tcPr>
          <w:p w14:paraId="004AA20A" w14:textId="1343DD9A" w:rsidR="00F52E36" w:rsidRPr="00372C6B" w:rsidRDefault="00F52E36" w:rsidP="00C15757">
            <w:pPr>
              <w:jc w:val="center"/>
              <w:rPr>
                <w:rFonts w:ascii="Calibri" w:hAnsi="Calibri" w:cs="Calibri"/>
              </w:rPr>
            </w:pPr>
          </w:p>
        </w:tc>
      </w:tr>
      <w:tr w:rsidR="00F52E36" w:rsidRPr="00372C6B" w14:paraId="1C6786CA" w14:textId="77777777" w:rsidTr="00C15757">
        <w:tc>
          <w:tcPr>
            <w:tcW w:w="4675" w:type="dxa"/>
          </w:tcPr>
          <w:p w14:paraId="3EE766DC" w14:textId="77777777" w:rsidR="00F52E36" w:rsidRPr="00372C6B" w:rsidRDefault="00F52E36" w:rsidP="00C15757">
            <w:pPr>
              <w:jc w:val="center"/>
              <w:rPr>
                <w:rFonts w:ascii="Calibri" w:hAnsi="Calibri" w:cs="Calibri"/>
              </w:rPr>
            </w:pPr>
          </w:p>
        </w:tc>
        <w:tc>
          <w:tcPr>
            <w:tcW w:w="4675" w:type="dxa"/>
          </w:tcPr>
          <w:p w14:paraId="4E61E3A8" w14:textId="77777777" w:rsidR="00F52E36" w:rsidRPr="00372C6B" w:rsidRDefault="00F52E36" w:rsidP="00C15757">
            <w:pPr>
              <w:jc w:val="center"/>
              <w:rPr>
                <w:rFonts w:ascii="Calibri" w:hAnsi="Calibri" w:cs="Calibri"/>
              </w:rPr>
            </w:pPr>
          </w:p>
        </w:tc>
      </w:tr>
    </w:tbl>
    <w:p w14:paraId="14D65060" w14:textId="7A73AA94" w:rsidR="003424F3" w:rsidRDefault="003424F3" w:rsidP="00377673">
      <w:pPr>
        <w:rPr>
          <w:rFonts w:ascii="Calibri" w:hAnsi="Calibri" w:cs="Calibri"/>
        </w:rPr>
      </w:pPr>
    </w:p>
    <w:p w14:paraId="4263E6D4" w14:textId="77777777" w:rsidR="003424F3" w:rsidRDefault="003424F3">
      <w:pPr>
        <w:rPr>
          <w:rFonts w:ascii="Calibri" w:hAnsi="Calibri" w:cs="Calibri"/>
        </w:rPr>
      </w:pPr>
      <w:r>
        <w:rPr>
          <w:rFonts w:ascii="Calibri" w:hAnsi="Calibri" w:cs="Calibri"/>
        </w:rPr>
        <w:br w:type="page"/>
      </w:r>
    </w:p>
    <w:p w14:paraId="3E75FD46" w14:textId="77777777" w:rsidR="00F52E36" w:rsidRPr="00372C6B" w:rsidRDefault="00F52E36" w:rsidP="00377673">
      <w:pPr>
        <w:rPr>
          <w:rFonts w:ascii="Calibri" w:hAnsi="Calibri" w:cs="Calibri"/>
        </w:rPr>
      </w:pPr>
    </w:p>
    <w:sdt>
      <w:sdtPr>
        <w:rPr>
          <w:rFonts w:ascii="Calibri" w:eastAsiaTheme="minorEastAsia" w:hAnsi="Calibri" w:cs="Calibri"/>
          <w:color w:val="auto"/>
          <w:kern w:val="2"/>
          <w:sz w:val="24"/>
          <w:szCs w:val="24"/>
          <w14:ligatures w14:val="standardContextual"/>
        </w:rPr>
        <w:id w:val="-1995016241"/>
        <w:docPartObj>
          <w:docPartGallery w:val="Table of Contents"/>
          <w:docPartUnique/>
        </w:docPartObj>
      </w:sdtPr>
      <w:sdtEndPr>
        <w:rPr>
          <w:b/>
          <w:bCs/>
          <w:noProof/>
        </w:rPr>
      </w:sdtEndPr>
      <w:sdtContent>
        <w:p w14:paraId="1E17F4BD" w14:textId="77777777" w:rsidR="003424F3" w:rsidRPr="00372C6B" w:rsidRDefault="003424F3" w:rsidP="003424F3">
          <w:pPr>
            <w:pStyle w:val="TOCHeading"/>
            <w:rPr>
              <w:rFonts w:ascii="Calibri" w:hAnsi="Calibri" w:cs="Calibri"/>
            </w:rPr>
          </w:pPr>
          <w:r w:rsidRPr="00372C6B">
            <w:rPr>
              <w:rFonts w:ascii="Calibri" w:hAnsi="Calibri" w:cs="Calibri"/>
            </w:rPr>
            <w:t>Table of Contents</w:t>
          </w:r>
        </w:p>
        <w:p w14:paraId="27A1AA3F" w14:textId="4A402010" w:rsidR="008B5C61" w:rsidRDefault="003424F3">
          <w:pPr>
            <w:pStyle w:val="TOC1"/>
            <w:tabs>
              <w:tab w:val="right" w:leader="dot" w:pos="9350"/>
            </w:tabs>
            <w:rPr>
              <w:rFonts w:eastAsiaTheme="minorEastAsia"/>
              <w:noProof/>
            </w:rPr>
          </w:pPr>
          <w:r>
            <w:rPr>
              <w:rFonts w:ascii="Calibri" w:hAnsi="Calibri" w:cs="Calibri"/>
            </w:rPr>
            <w:fldChar w:fldCharType="begin"/>
          </w:r>
          <w:r>
            <w:rPr>
              <w:rFonts w:ascii="Calibri" w:hAnsi="Calibri" w:cs="Calibri"/>
            </w:rPr>
            <w:instrText xml:space="preserve"> TOC \o "1-2" \h \z \u </w:instrText>
          </w:r>
          <w:r>
            <w:rPr>
              <w:rFonts w:ascii="Calibri" w:hAnsi="Calibri" w:cs="Calibri"/>
            </w:rPr>
            <w:fldChar w:fldCharType="separate"/>
          </w:r>
          <w:hyperlink w:anchor="_Toc242948888" w:history="1">
            <w:r w:rsidR="008B5C61" w:rsidRPr="00DE0CDA">
              <w:rPr>
                <w:rStyle w:val="Hyperlink"/>
                <w:rFonts w:ascii="Calibri" w:hAnsi="Calibri" w:cs="Calibri"/>
                <w:noProof/>
              </w:rPr>
              <w:t>I.</w:t>
            </w:r>
            <w:r w:rsidR="008B5C61" w:rsidRPr="00DE0CDA">
              <w:rPr>
                <w:rStyle w:val="Hyperlink"/>
                <w:rFonts w:ascii="Times New Roman" w:hAnsi="Times New Roman"/>
                <w:noProof/>
              </w:rPr>
              <w:t xml:space="preserve">  </w:t>
            </w:r>
            <w:r w:rsidR="008B5C61" w:rsidRPr="00DE0CDA">
              <w:rPr>
                <w:rStyle w:val="Hyperlink"/>
                <w:rFonts w:ascii="Calibri" w:hAnsi="Calibri" w:cs="Calibri"/>
                <w:noProof/>
              </w:rPr>
              <w:t>List of Figures</w:t>
            </w:r>
            <w:r w:rsidR="008B5C61">
              <w:rPr>
                <w:noProof/>
                <w:webHidden/>
              </w:rPr>
              <w:tab/>
            </w:r>
            <w:r w:rsidR="008B5C61">
              <w:rPr>
                <w:noProof/>
                <w:webHidden/>
              </w:rPr>
              <w:fldChar w:fldCharType="begin"/>
            </w:r>
            <w:r w:rsidR="008B5C61">
              <w:rPr>
                <w:noProof/>
                <w:webHidden/>
              </w:rPr>
              <w:instrText xml:space="preserve"> PAGEREF _Toc242948888 \h </w:instrText>
            </w:r>
            <w:r w:rsidR="008B5C61">
              <w:rPr>
                <w:noProof/>
                <w:webHidden/>
              </w:rPr>
            </w:r>
            <w:r w:rsidR="008B5C61">
              <w:rPr>
                <w:noProof/>
                <w:webHidden/>
              </w:rPr>
              <w:fldChar w:fldCharType="separate"/>
            </w:r>
            <w:r w:rsidR="008B5C61">
              <w:rPr>
                <w:noProof/>
                <w:webHidden/>
              </w:rPr>
              <w:t>4</w:t>
            </w:r>
            <w:r w:rsidR="008B5C61">
              <w:rPr>
                <w:noProof/>
                <w:webHidden/>
              </w:rPr>
              <w:fldChar w:fldCharType="end"/>
            </w:r>
          </w:hyperlink>
        </w:p>
        <w:p w14:paraId="000CFA99" w14:textId="362B450A" w:rsidR="008B5C61" w:rsidRDefault="008B5C61">
          <w:pPr>
            <w:pStyle w:val="TOC1"/>
            <w:tabs>
              <w:tab w:val="right" w:leader="dot" w:pos="9350"/>
            </w:tabs>
            <w:rPr>
              <w:rFonts w:eastAsiaTheme="minorEastAsia"/>
              <w:noProof/>
            </w:rPr>
          </w:pPr>
          <w:hyperlink w:anchor="_Toc242948889" w:history="1">
            <w:r w:rsidRPr="00DE0CDA">
              <w:rPr>
                <w:rStyle w:val="Hyperlink"/>
                <w:rFonts w:ascii="Calibri" w:hAnsi="Calibri" w:cs="Calibri"/>
                <w:noProof/>
              </w:rPr>
              <w:t>II.</w:t>
            </w:r>
            <w:r w:rsidRPr="00DE0CDA">
              <w:rPr>
                <w:rStyle w:val="Hyperlink"/>
                <w:rFonts w:ascii="Times New Roman" w:hAnsi="Times New Roman"/>
                <w:noProof/>
              </w:rPr>
              <w:t xml:space="preserve">  </w:t>
            </w:r>
            <w:r w:rsidRPr="00DE0CDA">
              <w:rPr>
                <w:rStyle w:val="Hyperlink"/>
                <w:rFonts w:ascii="Calibri" w:hAnsi="Calibri" w:cs="Calibri"/>
                <w:noProof/>
              </w:rPr>
              <w:t>Acronyms, Concepts and Definitions</w:t>
            </w:r>
            <w:r>
              <w:rPr>
                <w:noProof/>
                <w:webHidden/>
              </w:rPr>
              <w:tab/>
            </w:r>
            <w:r>
              <w:rPr>
                <w:noProof/>
                <w:webHidden/>
              </w:rPr>
              <w:fldChar w:fldCharType="begin"/>
            </w:r>
            <w:r>
              <w:rPr>
                <w:noProof/>
                <w:webHidden/>
              </w:rPr>
              <w:instrText xml:space="preserve"> PAGEREF _Toc242948889 \h </w:instrText>
            </w:r>
            <w:r>
              <w:rPr>
                <w:noProof/>
                <w:webHidden/>
              </w:rPr>
            </w:r>
            <w:r>
              <w:rPr>
                <w:noProof/>
                <w:webHidden/>
              </w:rPr>
              <w:fldChar w:fldCharType="separate"/>
            </w:r>
            <w:r>
              <w:rPr>
                <w:noProof/>
                <w:webHidden/>
              </w:rPr>
              <w:t>4</w:t>
            </w:r>
            <w:r>
              <w:rPr>
                <w:noProof/>
                <w:webHidden/>
              </w:rPr>
              <w:fldChar w:fldCharType="end"/>
            </w:r>
          </w:hyperlink>
        </w:p>
        <w:p w14:paraId="0CF66C8B" w14:textId="05B792A9" w:rsidR="008B5C61" w:rsidRDefault="008B5C61">
          <w:pPr>
            <w:pStyle w:val="TOC1"/>
            <w:tabs>
              <w:tab w:val="right" w:leader="dot" w:pos="9350"/>
            </w:tabs>
            <w:rPr>
              <w:rFonts w:eastAsiaTheme="minorEastAsia"/>
              <w:noProof/>
            </w:rPr>
          </w:pPr>
          <w:hyperlink w:anchor="_Toc242948890" w:history="1">
            <w:r w:rsidRPr="00DE0CDA">
              <w:rPr>
                <w:rStyle w:val="Hyperlink"/>
                <w:rFonts w:ascii="Calibri" w:hAnsi="Calibri" w:cs="Calibri"/>
                <w:noProof/>
              </w:rPr>
              <w:t>1.</w:t>
            </w:r>
            <w:r w:rsidRPr="00DE0CDA">
              <w:rPr>
                <w:rStyle w:val="Hyperlink"/>
                <w:rFonts w:ascii="Times New Roman" w:hAnsi="Times New Roman"/>
                <w:noProof/>
              </w:rPr>
              <w:t xml:space="preserve">  </w:t>
            </w:r>
            <w:r w:rsidRPr="00DE0CDA">
              <w:rPr>
                <w:rStyle w:val="Hyperlink"/>
                <w:rFonts w:ascii="Calibri" w:hAnsi="Calibri" w:cs="Calibri"/>
                <w:noProof/>
              </w:rPr>
              <w:t>Purpose</w:t>
            </w:r>
            <w:r>
              <w:rPr>
                <w:noProof/>
                <w:webHidden/>
              </w:rPr>
              <w:tab/>
            </w:r>
            <w:r>
              <w:rPr>
                <w:noProof/>
                <w:webHidden/>
              </w:rPr>
              <w:fldChar w:fldCharType="begin"/>
            </w:r>
            <w:r>
              <w:rPr>
                <w:noProof/>
                <w:webHidden/>
              </w:rPr>
              <w:instrText xml:space="preserve"> PAGEREF _Toc242948890 \h </w:instrText>
            </w:r>
            <w:r>
              <w:rPr>
                <w:noProof/>
                <w:webHidden/>
              </w:rPr>
            </w:r>
            <w:r>
              <w:rPr>
                <w:noProof/>
                <w:webHidden/>
              </w:rPr>
              <w:fldChar w:fldCharType="separate"/>
            </w:r>
            <w:r>
              <w:rPr>
                <w:noProof/>
                <w:webHidden/>
              </w:rPr>
              <w:t>7</w:t>
            </w:r>
            <w:r>
              <w:rPr>
                <w:noProof/>
                <w:webHidden/>
              </w:rPr>
              <w:fldChar w:fldCharType="end"/>
            </w:r>
          </w:hyperlink>
        </w:p>
        <w:p w14:paraId="64AEC35F" w14:textId="0C080CA1" w:rsidR="008B5C61" w:rsidRDefault="008B5C61">
          <w:pPr>
            <w:pStyle w:val="TOC1"/>
            <w:tabs>
              <w:tab w:val="right" w:leader="dot" w:pos="9350"/>
            </w:tabs>
            <w:rPr>
              <w:rFonts w:eastAsiaTheme="minorEastAsia"/>
              <w:noProof/>
            </w:rPr>
          </w:pPr>
          <w:hyperlink w:anchor="_Toc242948891" w:history="1">
            <w:r w:rsidRPr="00DE0CDA">
              <w:rPr>
                <w:rStyle w:val="Hyperlink"/>
                <w:rFonts w:ascii="Calibri" w:hAnsi="Calibri" w:cs="Calibri"/>
                <w:noProof/>
              </w:rPr>
              <w:t>2.</w:t>
            </w:r>
            <w:r w:rsidRPr="00DE0CDA">
              <w:rPr>
                <w:rStyle w:val="Hyperlink"/>
                <w:rFonts w:ascii="Times New Roman" w:hAnsi="Times New Roman"/>
                <w:noProof/>
              </w:rPr>
              <w:t xml:space="preserve">  </w:t>
            </w:r>
            <w:r w:rsidRPr="00DE0CDA">
              <w:rPr>
                <w:rStyle w:val="Hyperlink"/>
                <w:rFonts w:ascii="Calibri" w:hAnsi="Calibri" w:cs="Calibri"/>
                <w:noProof/>
              </w:rPr>
              <w:t>State of Grid Stability: The Reliability Need for Real-Time and Lookahead Visibility</w:t>
            </w:r>
            <w:r>
              <w:rPr>
                <w:noProof/>
                <w:webHidden/>
              </w:rPr>
              <w:tab/>
            </w:r>
            <w:r>
              <w:rPr>
                <w:noProof/>
                <w:webHidden/>
              </w:rPr>
              <w:fldChar w:fldCharType="begin"/>
            </w:r>
            <w:r>
              <w:rPr>
                <w:noProof/>
                <w:webHidden/>
              </w:rPr>
              <w:instrText xml:space="preserve"> PAGEREF _Toc242948891 \h </w:instrText>
            </w:r>
            <w:r>
              <w:rPr>
                <w:noProof/>
                <w:webHidden/>
              </w:rPr>
            </w:r>
            <w:r>
              <w:rPr>
                <w:noProof/>
                <w:webHidden/>
              </w:rPr>
              <w:fldChar w:fldCharType="separate"/>
            </w:r>
            <w:r>
              <w:rPr>
                <w:noProof/>
                <w:webHidden/>
              </w:rPr>
              <w:t>8</w:t>
            </w:r>
            <w:r>
              <w:rPr>
                <w:noProof/>
                <w:webHidden/>
              </w:rPr>
              <w:fldChar w:fldCharType="end"/>
            </w:r>
          </w:hyperlink>
        </w:p>
        <w:p w14:paraId="1F8A07D2" w14:textId="491445BE" w:rsidR="008B5C61" w:rsidRDefault="008B5C61">
          <w:pPr>
            <w:pStyle w:val="TOC1"/>
            <w:tabs>
              <w:tab w:val="right" w:leader="dot" w:pos="9350"/>
            </w:tabs>
            <w:rPr>
              <w:rFonts w:eastAsiaTheme="minorEastAsia"/>
              <w:noProof/>
            </w:rPr>
          </w:pPr>
          <w:hyperlink w:anchor="_Toc242948892" w:history="1">
            <w:r w:rsidRPr="00DE0CDA">
              <w:rPr>
                <w:rStyle w:val="Hyperlink"/>
                <w:rFonts w:ascii="Calibri" w:hAnsi="Calibri" w:cs="Calibri"/>
                <w:noProof/>
              </w:rPr>
              <w:t>3.</w:t>
            </w:r>
            <w:r w:rsidRPr="00DE0CDA">
              <w:rPr>
                <w:rStyle w:val="Hyperlink"/>
                <w:rFonts w:ascii="Times New Roman" w:hAnsi="Times New Roman"/>
                <w:noProof/>
              </w:rPr>
              <w:t xml:space="preserve">  </w:t>
            </w:r>
            <w:r w:rsidRPr="00DE0CDA">
              <w:rPr>
                <w:rStyle w:val="Hyperlink"/>
                <w:rFonts w:ascii="Calibri" w:hAnsi="Calibri" w:cs="Calibri"/>
                <w:noProof/>
              </w:rPr>
              <w:t>Review of Existing NERC Standards and Gaps</w:t>
            </w:r>
            <w:r>
              <w:rPr>
                <w:noProof/>
                <w:webHidden/>
              </w:rPr>
              <w:tab/>
            </w:r>
            <w:r>
              <w:rPr>
                <w:noProof/>
                <w:webHidden/>
              </w:rPr>
              <w:fldChar w:fldCharType="begin"/>
            </w:r>
            <w:r>
              <w:rPr>
                <w:noProof/>
                <w:webHidden/>
              </w:rPr>
              <w:instrText xml:space="preserve"> PAGEREF _Toc242948892 \h </w:instrText>
            </w:r>
            <w:r>
              <w:rPr>
                <w:noProof/>
                <w:webHidden/>
              </w:rPr>
            </w:r>
            <w:r>
              <w:rPr>
                <w:noProof/>
                <w:webHidden/>
              </w:rPr>
              <w:fldChar w:fldCharType="separate"/>
            </w:r>
            <w:r>
              <w:rPr>
                <w:noProof/>
                <w:webHidden/>
              </w:rPr>
              <w:t>12</w:t>
            </w:r>
            <w:r>
              <w:rPr>
                <w:noProof/>
                <w:webHidden/>
              </w:rPr>
              <w:fldChar w:fldCharType="end"/>
            </w:r>
          </w:hyperlink>
        </w:p>
        <w:p w14:paraId="0D5AD1AB" w14:textId="6F5D19C3" w:rsidR="008B5C61" w:rsidRDefault="008B5C61">
          <w:pPr>
            <w:pStyle w:val="TOC1"/>
            <w:tabs>
              <w:tab w:val="right" w:leader="dot" w:pos="9350"/>
            </w:tabs>
            <w:rPr>
              <w:rFonts w:eastAsiaTheme="minorEastAsia"/>
              <w:noProof/>
            </w:rPr>
          </w:pPr>
          <w:hyperlink w:anchor="_Toc242948893" w:history="1">
            <w:r w:rsidRPr="00DE0CDA">
              <w:rPr>
                <w:rStyle w:val="Hyperlink"/>
                <w:rFonts w:ascii="Calibri" w:hAnsi="Calibri" w:cs="Calibri"/>
                <w:noProof/>
              </w:rPr>
              <w:t>4.</w:t>
            </w:r>
            <w:r w:rsidRPr="00DE0CDA">
              <w:rPr>
                <w:rStyle w:val="Hyperlink"/>
                <w:rFonts w:ascii="Times New Roman" w:hAnsi="Times New Roman"/>
                <w:noProof/>
              </w:rPr>
              <w:t xml:space="preserve">  </w:t>
            </w:r>
            <w:r w:rsidRPr="00DE0CDA">
              <w:rPr>
                <w:rStyle w:val="Hyperlink"/>
                <w:rFonts w:ascii="Calibri" w:hAnsi="Calibri" w:cs="Calibri"/>
                <w:noProof/>
              </w:rPr>
              <w:t>Conclusions and Next Steps</w:t>
            </w:r>
            <w:r>
              <w:rPr>
                <w:noProof/>
                <w:webHidden/>
              </w:rPr>
              <w:tab/>
            </w:r>
            <w:r>
              <w:rPr>
                <w:noProof/>
                <w:webHidden/>
              </w:rPr>
              <w:fldChar w:fldCharType="begin"/>
            </w:r>
            <w:r>
              <w:rPr>
                <w:noProof/>
                <w:webHidden/>
              </w:rPr>
              <w:instrText xml:space="preserve"> PAGEREF _Toc242948893 \h </w:instrText>
            </w:r>
            <w:r>
              <w:rPr>
                <w:noProof/>
                <w:webHidden/>
              </w:rPr>
            </w:r>
            <w:r>
              <w:rPr>
                <w:noProof/>
                <w:webHidden/>
              </w:rPr>
              <w:fldChar w:fldCharType="separate"/>
            </w:r>
            <w:r>
              <w:rPr>
                <w:noProof/>
                <w:webHidden/>
              </w:rPr>
              <w:t>25</w:t>
            </w:r>
            <w:r>
              <w:rPr>
                <w:noProof/>
                <w:webHidden/>
              </w:rPr>
              <w:fldChar w:fldCharType="end"/>
            </w:r>
          </w:hyperlink>
        </w:p>
        <w:p w14:paraId="702A4072" w14:textId="1096CBAD" w:rsidR="008B5C61" w:rsidRDefault="008B5C61">
          <w:pPr>
            <w:pStyle w:val="TOC2"/>
            <w:tabs>
              <w:tab w:val="left" w:pos="960"/>
              <w:tab w:val="right" w:leader="dot" w:pos="9350"/>
            </w:tabs>
            <w:rPr>
              <w:rFonts w:eastAsiaTheme="minorEastAsia"/>
              <w:noProof/>
            </w:rPr>
          </w:pPr>
          <w:hyperlink w:anchor="_Toc242948894" w:history="1">
            <w:r w:rsidRPr="00DE0CDA">
              <w:rPr>
                <w:rStyle w:val="Hyperlink"/>
                <w:rFonts w:ascii="Calibri" w:eastAsia="Aptos Display" w:hAnsi="Calibri" w:cs="Calibri"/>
                <w:noProof/>
              </w:rPr>
              <w:t>4.1</w:t>
            </w:r>
            <w:r>
              <w:rPr>
                <w:rFonts w:eastAsiaTheme="minorEastAsia"/>
                <w:noProof/>
              </w:rPr>
              <w:tab/>
            </w:r>
            <w:r w:rsidRPr="00DE0CDA">
              <w:rPr>
                <w:rStyle w:val="Hyperlink"/>
                <w:rFonts w:ascii="Calibri" w:eastAsia="Aptos Display" w:hAnsi="Calibri" w:cs="Calibri"/>
                <w:noProof/>
              </w:rPr>
              <w:t>Executive Technical Findings</w:t>
            </w:r>
            <w:r>
              <w:rPr>
                <w:noProof/>
                <w:webHidden/>
              </w:rPr>
              <w:tab/>
            </w:r>
            <w:r>
              <w:rPr>
                <w:noProof/>
                <w:webHidden/>
              </w:rPr>
              <w:fldChar w:fldCharType="begin"/>
            </w:r>
            <w:r>
              <w:rPr>
                <w:noProof/>
                <w:webHidden/>
              </w:rPr>
              <w:instrText xml:space="preserve"> PAGEREF _Toc242948894 \h </w:instrText>
            </w:r>
            <w:r>
              <w:rPr>
                <w:noProof/>
                <w:webHidden/>
              </w:rPr>
            </w:r>
            <w:r>
              <w:rPr>
                <w:noProof/>
                <w:webHidden/>
              </w:rPr>
              <w:fldChar w:fldCharType="separate"/>
            </w:r>
            <w:r>
              <w:rPr>
                <w:noProof/>
                <w:webHidden/>
              </w:rPr>
              <w:t>25</w:t>
            </w:r>
            <w:r>
              <w:rPr>
                <w:noProof/>
                <w:webHidden/>
              </w:rPr>
              <w:fldChar w:fldCharType="end"/>
            </w:r>
          </w:hyperlink>
        </w:p>
        <w:p w14:paraId="1FF73F84" w14:textId="05BDC6F4" w:rsidR="008B5C61" w:rsidRDefault="008B5C61">
          <w:pPr>
            <w:pStyle w:val="TOC2"/>
            <w:tabs>
              <w:tab w:val="left" w:pos="960"/>
              <w:tab w:val="right" w:leader="dot" w:pos="9350"/>
            </w:tabs>
            <w:rPr>
              <w:rFonts w:eastAsiaTheme="minorEastAsia"/>
              <w:noProof/>
            </w:rPr>
          </w:pPr>
          <w:hyperlink w:anchor="_Toc242948895" w:history="1">
            <w:r w:rsidRPr="00DE0CDA">
              <w:rPr>
                <w:rStyle w:val="Hyperlink"/>
                <w:rFonts w:ascii="Calibri" w:eastAsia="Aptos Display" w:hAnsi="Calibri" w:cs="Calibri"/>
                <w:noProof/>
              </w:rPr>
              <w:t>4.2</w:t>
            </w:r>
            <w:r>
              <w:rPr>
                <w:rFonts w:eastAsiaTheme="minorEastAsia"/>
                <w:noProof/>
              </w:rPr>
              <w:tab/>
            </w:r>
            <w:r w:rsidRPr="00DE0CDA">
              <w:rPr>
                <w:rStyle w:val="Hyperlink"/>
                <w:rFonts w:ascii="Calibri" w:eastAsia="Aptos Display" w:hAnsi="Calibri" w:cs="Calibri"/>
                <w:noProof/>
              </w:rPr>
              <w:t>Recommended Standards Strategy</w:t>
            </w:r>
            <w:r>
              <w:rPr>
                <w:noProof/>
                <w:webHidden/>
              </w:rPr>
              <w:tab/>
            </w:r>
            <w:r>
              <w:rPr>
                <w:noProof/>
                <w:webHidden/>
              </w:rPr>
              <w:fldChar w:fldCharType="begin"/>
            </w:r>
            <w:r>
              <w:rPr>
                <w:noProof/>
                <w:webHidden/>
              </w:rPr>
              <w:instrText xml:space="preserve"> PAGEREF _Toc242948895 \h </w:instrText>
            </w:r>
            <w:r>
              <w:rPr>
                <w:noProof/>
                <w:webHidden/>
              </w:rPr>
            </w:r>
            <w:r>
              <w:rPr>
                <w:noProof/>
                <w:webHidden/>
              </w:rPr>
              <w:fldChar w:fldCharType="separate"/>
            </w:r>
            <w:r>
              <w:rPr>
                <w:noProof/>
                <w:webHidden/>
              </w:rPr>
              <w:t>26</w:t>
            </w:r>
            <w:r>
              <w:rPr>
                <w:noProof/>
                <w:webHidden/>
              </w:rPr>
              <w:fldChar w:fldCharType="end"/>
            </w:r>
          </w:hyperlink>
        </w:p>
        <w:p w14:paraId="6B4C6638" w14:textId="243D4F10" w:rsidR="008B5C61" w:rsidRDefault="008B5C61">
          <w:pPr>
            <w:pStyle w:val="TOC2"/>
            <w:tabs>
              <w:tab w:val="left" w:pos="960"/>
              <w:tab w:val="right" w:leader="dot" w:pos="9350"/>
            </w:tabs>
            <w:rPr>
              <w:rFonts w:eastAsiaTheme="minorEastAsia"/>
              <w:noProof/>
            </w:rPr>
          </w:pPr>
          <w:hyperlink w:anchor="_Toc242948896" w:history="1">
            <w:r w:rsidRPr="00DE0CDA">
              <w:rPr>
                <w:rStyle w:val="Hyperlink"/>
                <w:rFonts w:ascii="Calibri" w:eastAsia="Aptos Display" w:hAnsi="Calibri" w:cs="Calibri"/>
                <w:noProof/>
              </w:rPr>
              <w:t>4.3</w:t>
            </w:r>
            <w:r>
              <w:rPr>
                <w:rFonts w:eastAsiaTheme="minorEastAsia"/>
                <w:noProof/>
              </w:rPr>
              <w:tab/>
            </w:r>
            <w:r w:rsidRPr="00DE0CDA">
              <w:rPr>
                <w:rStyle w:val="Hyperlink"/>
                <w:rFonts w:ascii="Calibri" w:eastAsia="Aptos Display" w:hAnsi="Calibri" w:cs="Calibri"/>
                <w:noProof/>
              </w:rPr>
              <w:t>Implementation Priorities and Next Steps</w:t>
            </w:r>
            <w:r>
              <w:rPr>
                <w:noProof/>
                <w:webHidden/>
              </w:rPr>
              <w:tab/>
            </w:r>
            <w:r>
              <w:rPr>
                <w:noProof/>
                <w:webHidden/>
              </w:rPr>
              <w:fldChar w:fldCharType="begin"/>
            </w:r>
            <w:r>
              <w:rPr>
                <w:noProof/>
                <w:webHidden/>
              </w:rPr>
              <w:instrText xml:space="preserve"> PAGEREF _Toc242948896 \h </w:instrText>
            </w:r>
            <w:r>
              <w:rPr>
                <w:noProof/>
                <w:webHidden/>
              </w:rPr>
            </w:r>
            <w:r>
              <w:rPr>
                <w:noProof/>
                <w:webHidden/>
              </w:rPr>
              <w:fldChar w:fldCharType="separate"/>
            </w:r>
            <w:r>
              <w:rPr>
                <w:noProof/>
                <w:webHidden/>
              </w:rPr>
              <w:t>27</w:t>
            </w:r>
            <w:r>
              <w:rPr>
                <w:noProof/>
                <w:webHidden/>
              </w:rPr>
              <w:fldChar w:fldCharType="end"/>
            </w:r>
          </w:hyperlink>
        </w:p>
        <w:p w14:paraId="6CFA662E" w14:textId="5835883B" w:rsidR="008B5C61" w:rsidRDefault="008B5C61">
          <w:pPr>
            <w:pStyle w:val="TOC1"/>
            <w:tabs>
              <w:tab w:val="right" w:leader="dot" w:pos="9350"/>
            </w:tabs>
            <w:rPr>
              <w:rFonts w:eastAsiaTheme="minorEastAsia"/>
              <w:noProof/>
            </w:rPr>
          </w:pPr>
          <w:hyperlink w:anchor="_Toc242948897" w:history="1">
            <w:r w:rsidRPr="00DE0CDA">
              <w:rPr>
                <w:rStyle w:val="Hyperlink"/>
                <w:rFonts w:ascii="Calibri" w:hAnsi="Calibri" w:cs="Calibri"/>
                <w:noProof/>
              </w:rPr>
              <w:t>7.</w:t>
            </w:r>
            <w:r w:rsidRPr="00DE0CDA">
              <w:rPr>
                <w:rStyle w:val="Hyperlink"/>
                <w:rFonts w:ascii="Times New Roman" w:hAnsi="Times New Roman"/>
                <w:noProof/>
              </w:rPr>
              <w:t xml:space="preserve">  </w:t>
            </w:r>
            <w:r w:rsidRPr="00DE0CDA">
              <w:rPr>
                <w:rStyle w:val="Hyperlink"/>
                <w:rFonts w:ascii="Calibri" w:hAnsi="Calibri" w:cs="Calibri"/>
                <w:noProof/>
              </w:rPr>
              <w:t>References</w:t>
            </w:r>
            <w:r>
              <w:rPr>
                <w:noProof/>
                <w:webHidden/>
              </w:rPr>
              <w:tab/>
            </w:r>
            <w:r>
              <w:rPr>
                <w:noProof/>
                <w:webHidden/>
              </w:rPr>
              <w:fldChar w:fldCharType="begin"/>
            </w:r>
            <w:r>
              <w:rPr>
                <w:noProof/>
                <w:webHidden/>
              </w:rPr>
              <w:instrText xml:space="preserve"> PAGEREF _Toc242948897 \h </w:instrText>
            </w:r>
            <w:r>
              <w:rPr>
                <w:noProof/>
                <w:webHidden/>
              </w:rPr>
            </w:r>
            <w:r>
              <w:rPr>
                <w:noProof/>
                <w:webHidden/>
              </w:rPr>
              <w:fldChar w:fldCharType="separate"/>
            </w:r>
            <w:r>
              <w:rPr>
                <w:noProof/>
                <w:webHidden/>
              </w:rPr>
              <w:t>29</w:t>
            </w:r>
            <w:r>
              <w:rPr>
                <w:noProof/>
                <w:webHidden/>
              </w:rPr>
              <w:fldChar w:fldCharType="end"/>
            </w:r>
          </w:hyperlink>
        </w:p>
        <w:p w14:paraId="5D2EEC05" w14:textId="6C57A573" w:rsidR="008B5C61" w:rsidRDefault="008B5C61">
          <w:pPr>
            <w:pStyle w:val="TOC1"/>
            <w:tabs>
              <w:tab w:val="right" w:leader="dot" w:pos="9350"/>
            </w:tabs>
            <w:rPr>
              <w:rFonts w:eastAsiaTheme="minorEastAsia"/>
              <w:noProof/>
            </w:rPr>
          </w:pPr>
          <w:hyperlink w:anchor="_Toc242948898" w:history="1">
            <w:r w:rsidRPr="00DE0CDA">
              <w:rPr>
                <w:rStyle w:val="Hyperlink"/>
                <w:rFonts w:ascii="Calibri" w:hAnsi="Calibri" w:cs="Calibri"/>
                <w:noProof/>
              </w:rPr>
              <w:t>5.</w:t>
            </w:r>
            <w:r w:rsidRPr="00DE0CDA">
              <w:rPr>
                <w:rStyle w:val="Hyperlink"/>
                <w:rFonts w:ascii="Times New Roman" w:hAnsi="Times New Roman"/>
                <w:noProof/>
              </w:rPr>
              <w:t xml:space="preserve">  </w:t>
            </w:r>
            <w:r w:rsidRPr="00DE0CDA">
              <w:rPr>
                <w:rStyle w:val="Hyperlink"/>
                <w:rFonts w:ascii="Calibri" w:hAnsi="Calibri" w:cs="Calibri"/>
                <w:noProof/>
              </w:rPr>
              <w:t>Appendix A. Review of Current Practices</w:t>
            </w:r>
            <w:r>
              <w:rPr>
                <w:noProof/>
                <w:webHidden/>
              </w:rPr>
              <w:tab/>
            </w:r>
            <w:r>
              <w:rPr>
                <w:noProof/>
                <w:webHidden/>
              </w:rPr>
              <w:fldChar w:fldCharType="begin"/>
            </w:r>
            <w:r>
              <w:rPr>
                <w:noProof/>
                <w:webHidden/>
              </w:rPr>
              <w:instrText xml:space="preserve"> PAGEREF _Toc242948898 \h </w:instrText>
            </w:r>
            <w:r>
              <w:rPr>
                <w:noProof/>
                <w:webHidden/>
              </w:rPr>
            </w:r>
            <w:r>
              <w:rPr>
                <w:noProof/>
                <w:webHidden/>
              </w:rPr>
              <w:fldChar w:fldCharType="separate"/>
            </w:r>
            <w:r>
              <w:rPr>
                <w:noProof/>
                <w:webHidden/>
              </w:rPr>
              <w:t>35</w:t>
            </w:r>
            <w:r>
              <w:rPr>
                <w:noProof/>
                <w:webHidden/>
              </w:rPr>
              <w:fldChar w:fldCharType="end"/>
            </w:r>
          </w:hyperlink>
        </w:p>
        <w:p w14:paraId="6C2158A6" w14:textId="4FDCAA2C" w:rsidR="008B5C61" w:rsidRDefault="008B5C61">
          <w:pPr>
            <w:pStyle w:val="TOC1"/>
            <w:tabs>
              <w:tab w:val="right" w:leader="dot" w:pos="9350"/>
            </w:tabs>
            <w:rPr>
              <w:rFonts w:eastAsiaTheme="minorEastAsia"/>
              <w:noProof/>
            </w:rPr>
          </w:pPr>
          <w:hyperlink w:anchor="_Toc242948899" w:history="1">
            <w:r w:rsidRPr="00DE0CDA">
              <w:rPr>
                <w:rStyle w:val="Hyperlink"/>
                <w:rFonts w:ascii="Calibri" w:hAnsi="Calibri" w:cs="Calibri"/>
                <w:noProof/>
              </w:rPr>
              <w:t>6.</w:t>
            </w:r>
            <w:r w:rsidRPr="00DE0CDA">
              <w:rPr>
                <w:rStyle w:val="Hyperlink"/>
                <w:rFonts w:ascii="Times New Roman" w:hAnsi="Times New Roman"/>
                <w:noProof/>
              </w:rPr>
              <w:t xml:space="preserve">  </w:t>
            </w:r>
            <w:r w:rsidRPr="00DE0CDA">
              <w:rPr>
                <w:rStyle w:val="Hyperlink"/>
                <w:rFonts w:ascii="Calibri" w:hAnsi="Calibri" w:cs="Calibri"/>
                <w:noProof/>
              </w:rPr>
              <w:t>Appendix B. Recommendations from Large System Events</w:t>
            </w:r>
            <w:r>
              <w:rPr>
                <w:noProof/>
                <w:webHidden/>
              </w:rPr>
              <w:tab/>
            </w:r>
            <w:r>
              <w:rPr>
                <w:noProof/>
                <w:webHidden/>
              </w:rPr>
              <w:fldChar w:fldCharType="begin"/>
            </w:r>
            <w:r>
              <w:rPr>
                <w:noProof/>
                <w:webHidden/>
              </w:rPr>
              <w:instrText xml:space="preserve"> PAGEREF _Toc242948899 \h </w:instrText>
            </w:r>
            <w:r>
              <w:rPr>
                <w:noProof/>
                <w:webHidden/>
              </w:rPr>
            </w:r>
            <w:r>
              <w:rPr>
                <w:noProof/>
                <w:webHidden/>
              </w:rPr>
              <w:fldChar w:fldCharType="separate"/>
            </w:r>
            <w:r>
              <w:rPr>
                <w:noProof/>
                <w:webHidden/>
              </w:rPr>
              <w:t>36</w:t>
            </w:r>
            <w:r>
              <w:rPr>
                <w:noProof/>
                <w:webHidden/>
              </w:rPr>
              <w:fldChar w:fldCharType="end"/>
            </w:r>
          </w:hyperlink>
        </w:p>
        <w:p w14:paraId="5652DA87" w14:textId="492A674A" w:rsidR="008B5C61" w:rsidRDefault="008B5C61">
          <w:pPr>
            <w:pStyle w:val="TOC2"/>
            <w:tabs>
              <w:tab w:val="left" w:pos="960"/>
              <w:tab w:val="right" w:leader="dot" w:pos="9350"/>
            </w:tabs>
            <w:rPr>
              <w:rFonts w:eastAsiaTheme="minorEastAsia"/>
              <w:noProof/>
            </w:rPr>
          </w:pPr>
          <w:hyperlink w:anchor="_Toc242948900" w:history="1">
            <w:r w:rsidRPr="00DE0CDA">
              <w:rPr>
                <w:rStyle w:val="Hyperlink"/>
                <w:rFonts w:ascii="Calibri" w:eastAsia="Aptos Display" w:hAnsi="Calibri" w:cs="Calibri"/>
                <w:noProof/>
              </w:rPr>
              <w:t>7.1</w:t>
            </w:r>
            <w:r>
              <w:rPr>
                <w:rFonts w:eastAsiaTheme="minorEastAsia"/>
                <w:noProof/>
              </w:rPr>
              <w:tab/>
            </w:r>
            <w:r w:rsidRPr="00DE0CDA">
              <w:rPr>
                <w:rStyle w:val="Hyperlink"/>
                <w:rFonts w:ascii="Calibri" w:eastAsia="Aptos Display" w:hAnsi="Calibri" w:cs="Calibri"/>
                <w:noProof/>
              </w:rPr>
              <w:t>Major Blackouts in North America</w:t>
            </w:r>
            <w:r>
              <w:rPr>
                <w:noProof/>
                <w:webHidden/>
              </w:rPr>
              <w:tab/>
            </w:r>
            <w:r>
              <w:rPr>
                <w:noProof/>
                <w:webHidden/>
              </w:rPr>
              <w:fldChar w:fldCharType="begin"/>
            </w:r>
            <w:r>
              <w:rPr>
                <w:noProof/>
                <w:webHidden/>
              </w:rPr>
              <w:instrText xml:space="preserve"> PAGEREF _Toc242948900 \h </w:instrText>
            </w:r>
            <w:r>
              <w:rPr>
                <w:noProof/>
                <w:webHidden/>
              </w:rPr>
            </w:r>
            <w:r>
              <w:rPr>
                <w:noProof/>
                <w:webHidden/>
              </w:rPr>
              <w:fldChar w:fldCharType="separate"/>
            </w:r>
            <w:r>
              <w:rPr>
                <w:noProof/>
                <w:webHidden/>
              </w:rPr>
              <w:t>36</w:t>
            </w:r>
            <w:r>
              <w:rPr>
                <w:noProof/>
                <w:webHidden/>
              </w:rPr>
              <w:fldChar w:fldCharType="end"/>
            </w:r>
          </w:hyperlink>
        </w:p>
        <w:p w14:paraId="4396618E" w14:textId="17E7EFDE" w:rsidR="008B5C61" w:rsidRDefault="008B5C61">
          <w:pPr>
            <w:pStyle w:val="TOC2"/>
            <w:tabs>
              <w:tab w:val="left" w:pos="960"/>
              <w:tab w:val="right" w:leader="dot" w:pos="9350"/>
            </w:tabs>
            <w:rPr>
              <w:rFonts w:eastAsiaTheme="minorEastAsia"/>
              <w:noProof/>
            </w:rPr>
          </w:pPr>
          <w:hyperlink w:anchor="_Toc242948901" w:history="1">
            <w:r w:rsidRPr="00DE0CDA">
              <w:rPr>
                <w:rStyle w:val="Hyperlink"/>
                <w:rFonts w:ascii="Calibri" w:eastAsia="Aptos Display" w:hAnsi="Calibri" w:cs="Calibri"/>
                <w:noProof/>
              </w:rPr>
              <w:t>7.3</w:t>
            </w:r>
            <w:r>
              <w:rPr>
                <w:rFonts w:eastAsiaTheme="minorEastAsia"/>
                <w:noProof/>
              </w:rPr>
              <w:tab/>
            </w:r>
            <w:r w:rsidRPr="00DE0CDA">
              <w:rPr>
                <w:rStyle w:val="Hyperlink"/>
                <w:rFonts w:ascii="Calibri" w:eastAsia="Aptos Display" w:hAnsi="Calibri" w:cs="Calibri"/>
                <w:noProof/>
              </w:rPr>
              <w:t>Significant Recent Disturbances in North America</w:t>
            </w:r>
            <w:r>
              <w:rPr>
                <w:noProof/>
                <w:webHidden/>
              </w:rPr>
              <w:tab/>
            </w:r>
            <w:r>
              <w:rPr>
                <w:noProof/>
                <w:webHidden/>
              </w:rPr>
              <w:fldChar w:fldCharType="begin"/>
            </w:r>
            <w:r>
              <w:rPr>
                <w:noProof/>
                <w:webHidden/>
              </w:rPr>
              <w:instrText xml:space="preserve"> PAGEREF _Toc242948901 \h </w:instrText>
            </w:r>
            <w:r>
              <w:rPr>
                <w:noProof/>
                <w:webHidden/>
              </w:rPr>
            </w:r>
            <w:r>
              <w:rPr>
                <w:noProof/>
                <w:webHidden/>
              </w:rPr>
              <w:fldChar w:fldCharType="separate"/>
            </w:r>
            <w:r>
              <w:rPr>
                <w:noProof/>
                <w:webHidden/>
              </w:rPr>
              <w:t>43</w:t>
            </w:r>
            <w:r>
              <w:rPr>
                <w:noProof/>
                <w:webHidden/>
              </w:rPr>
              <w:fldChar w:fldCharType="end"/>
            </w:r>
          </w:hyperlink>
        </w:p>
        <w:p w14:paraId="7B296FBB" w14:textId="20924BBF" w:rsidR="008B5C61" w:rsidRDefault="008B5C61">
          <w:pPr>
            <w:pStyle w:val="TOC2"/>
            <w:tabs>
              <w:tab w:val="left" w:pos="960"/>
              <w:tab w:val="right" w:leader="dot" w:pos="9350"/>
            </w:tabs>
            <w:rPr>
              <w:rFonts w:eastAsiaTheme="minorEastAsia"/>
              <w:noProof/>
            </w:rPr>
          </w:pPr>
          <w:hyperlink w:anchor="_Toc242948902" w:history="1">
            <w:r w:rsidRPr="00DE0CDA">
              <w:rPr>
                <w:rStyle w:val="Hyperlink"/>
                <w:rFonts w:ascii="Calibri" w:hAnsi="Calibri" w:cs="Calibri"/>
                <w:noProof/>
              </w:rPr>
              <w:t>7.3</w:t>
            </w:r>
            <w:r>
              <w:rPr>
                <w:rFonts w:eastAsiaTheme="minorEastAsia"/>
                <w:noProof/>
              </w:rPr>
              <w:tab/>
            </w:r>
            <w:r w:rsidRPr="00DE0CDA">
              <w:rPr>
                <w:rStyle w:val="Hyperlink"/>
                <w:rFonts w:ascii="Calibri" w:hAnsi="Calibri" w:cs="Calibri"/>
                <w:noProof/>
              </w:rPr>
              <w:t>Blackouts outside of North America</w:t>
            </w:r>
            <w:r>
              <w:rPr>
                <w:noProof/>
                <w:webHidden/>
              </w:rPr>
              <w:tab/>
            </w:r>
            <w:r>
              <w:rPr>
                <w:noProof/>
                <w:webHidden/>
              </w:rPr>
              <w:fldChar w:fldCharType="begin"/>
            </w:r>
            <w:r>
              <w:rPr>
                <w:noProof/>
                <w:webHidden/>
              </w:rPr>
              <w:instrText xml:space="preserve"> PAGEREF _Toc242948902 \h </w:instrText>
            </w:r>
            <w:r>
              <w:rPr>
                <w:noProof/>
                <w:webHidden/>
              </w:rPr>
            </w:r>
            <w:r>
              <w:rPr>
                <w:noProof/>
                <w:webHidden/>
              </w:rPr>
              <w:fldChar w:fldCharType="separate"/>
            </w:r>
            <w:r>
              <w:rPr>
                <w:noProof/>
                <w:webHidden/>
              </w:rPr>
              <w:t>46</w:t>
            </w:r>
            <w:r>
              <w:rPr>
                <w:noProof/>
                <w:webHidden/>
              </w:rPr>
              <w:fldChar w:fldCharType="end"/>
            </w:r>
          </w:hyperlink>
        </w:p>
        <w:p w14:paraId="7FB04F64" w14:textId="25F74D2E" w:rsidR="008B5C61" w:rsidRDefault="008B5C61">
          <w:pPr>
            <w:pStyle w:val="TOC2"/>
            <w:tabs>
              <w:tab w:val="left" w:pos="960"/>
              <w:tab w:val="right" w:leader="dot" w:pos="9350"/>
            </w:tabs>
            <w:rPr>
              <w:rFonts w:eastAsiaTheme="minorEastAsia"/>
              <w:noProof/>
            </w:rPr>
          </w:pPr>
          <w:hyperlink w:anchor="_Toc242948903" w:history="1">
            <w:r w:rsidRPr="00DE0CDA">
              <w:rPr>
                <w:rStyle w:val="Hyperlink"/>
                <w:rFonts w:ascii="Calibri" w:eastAsia="Aptos Display" w:hAnsi="Calibri" w:cs="Calibri"/>
                <w:noProof/>
              </w:rPr>
              <w:t>7.3</w:t>
            </w:r>
            <w:r>
              <w:rPr>
                <w:rFonts w:eastAsiaTheme="minorEastAsia"/>
                <w:noProof/>
              </w:rPr>
              <w:tab/>
            </w:r>
            <w:r w:rsidRPr="00DE0CDA">
              <w:rPr>
                <w:rStyle w:val="Hyperlink"/>
                <w:rFonts w:ascii="Calibri" w:eastAsia="Aptos Display" w:hAnsi="Calibri" w:cs="Calibri"/>
                <w:noProof/>
              </w:rPr>
              <w:t>Notable Events in North America</w:t>
            </w:r>
            <w:r>
              <w:rPr>
                <w:noProof/>
                <w:webHidden/>
              </w:rPr>
              <w:tab/>
            </w:r>
            <w:r>
              <w:rPr>
                <w:noProof/>
                <w:webHidden/>
              </w:rPr>
              <w:fldChar w:fldCharType="begin"/>
            </w:r>
            <w:r>
              <w:rPr>
                <w:noProof/>
                <w:webHidden/>
              </w:rPr>
              <w:instrText xml:space="preserve"> PAGEREF _Toc242948903 \h </w:instrText>
            </w:r>
            <w:r>
              <w:rPr>
                <w:noProof/>
                <w:webHidden/>
              </w:rPr>
            </w:r>
            <w:r>
              <w:rPr>
                <w:noProof/>
                <w:webHidden/>
              </w:rPr>
              <w:fldChar w:fldCharType="separate"/>
            </w:r>
            <w:r>
              <w:rPr>
                <w:noProof/>
                <w:webHidden/>
              </w:rPr>
              <w:t>50</w:t>
            </w:r>
            <w:r>
              <w:rPr>
                <w:noProof/>
                <w:webHidden/>
              </w:rPr>
              <w:fldChar w:fldCharType="end"/>
            </w:r>
          </w:hyperlink>
        </w:p>
        <w:p w14:paraId="29E2B647" w14:textId="34D9F5A8" w:rsidR="008B5C61" w:rsidRDefault="008B5C61">
          <w:pPr>
            <w:pStyle w:val="TOC2"/>
            <w:tabs>
              <w:tab w:val="left" w:pos="960"/>
              <w:tab w:val="right" w:leader="dot" w:pos="9350"/>
            </w:tabs>
            <w:rPr>
              <w:rFonts w:eastAsiaTheme="minorEastAsia"/>
              <w:noProof/>
            </w:rPr>
          </w:pPr>
          <w:hyperlink w:anchor="_Toc242948904" w:history="1">
            <w:r w:rsidRPr="00DE0CDA">
              <w:rPr>
                <w:rStyle w:val="Hyperlink"/>
                <w:rFonts w:ascii="Calibri" w:hAnsi="Calibri" w:cs="Calibri"/>
                <w:noProof/>
              </w:rPr>
              <w:t>7.4</w:t>
            </w:r>
            <w:r>
              <w:rPr>
                <w:rFonts w:eastAsiaTheme="minorEastAsia"/>
                <w:noProof/>
              </w:rPr>
              <w:tab/>
            </w:r>
            <w:r w:rsidRPr="00DE0CDA">
              <w:rPr>
                <w:rStyle w:val="Hyperlink"/>
                <w:rFonts w:ascii="Calibri" w:hAnsi="Calibri" w:cs="Calibri"/>
                <w:noProof/>
              </w:rPr>
              <w:t>Significant Recent Disturbances Outside of North America</w:t>
            </w:r>
            <w:r>
              <w:rPr>
                <w:noProof/>
                <w:webHidden/>
              </w:rPr>
              <w:tab/>
            </w:r>
            <w:r>
              <w:rPr>
                <w:noProof/>
                <w:webHidden/>
              </w:rPr>
              <w:fldChar w:fldCharType="begin"/>
            </w:r>
            <w:r>
              <w:rPr>
                <w:noProof/>
                <w:webHidden/>
              </w:rPr>
              <w:instrText xml:space="preserve"> PAGEREF _Toc242948904 \h </w:instrText>
            </w:r>
            <w:r>
              <w:rPr>
                <w:noProof/>
                <w:webHidden/>
              </w:rPr>
            </w:r>
            <w:r>
              <w:rPr>
                <w:noProof/>
                <w:webHidden/>
              </w:rPr>
              <w:fldChar w:fldCharType="separate"/>
            </w:r>
            <w:r>
              <w:rPr>
                <w:noProof/>
                <w:webHidden/>
              </w:rPr>
              <w:t>50</w:t>
            </w:r>
            <w:r>
              <w:rPr>
                <w:noProof/>
                <w:webHidden/>
              </w:rPr>
              <w:fldChar w:fldCharType="end"/>
            </w:r>
          </w:hyperlink>
        </w:p>
        <w:p w14:paraId="527E855D" w14:textId="79777A83" w:rsidR="003424F3" w:rsidRPr="00372C6B" w:rsidRDefault="003424F3" w:rsidP="003424F3">
          <w:pPr>
            <w:rPr>
              <w:rFonts w:ascii="Calibri" w:hAnsi="Calibri" w:cs="Calibri"/>
              <w:b/>
              <w:bCs/>
              <w:noProof/>
            </w:rPr>
          </w:pPr>
          <w:r>
            <w:rPr>
              <w:rFonts w:ascii="Calibri" w:hAnsi="Calibri" w:cs="Calibri"/>
            </w:rPr>
            <w:fldChar w:fldCharType="end"/>
          </w:r>
        </w:p>
      </w:sdtContent>
    </w:sdt>
    <w:p w14:paraId="3355B421" w14:textId="6300F193" w:rsidR="00607186" w:rsidRPr="00372C6B" w:rsidRDefault="00607186" w:rsidP="001C5075">
      <w:pPr>
        <w:rPr>
          <w:rFonts w:ascii="Calibri" w:hAnsi="Calibri" w:cs="Calibri"/>
        </w:rPr>
      </w:pPr>
      <w:r w:rsidRPr="00372C6B">
        <w:rPr>
          <w:rFonts w:ascii="Calibri" w:hAnsi="Calibri" w:cs="Calibri"/>
        </w:rPr>
        <w:br w:type="page"/>
      </w:r>
    </w:p>
    <w:p w14:paraId="5BF9D859" w14:textId="6E319230" w:rsidR="00164247" w:rsidRDefault="00164247" w:rsidP="006A150E">
      <w:pPr>
        <w:rPr>
          <w:rFonts w:ascii="Calibri" w:hAnsi="Calibri" w:cs="Calibri"/>
        </w:rPr>
      </w:pPr>
    </w:p>
    <w:p w14:paraId="726F627C" w14:textId="77777777" w:rsidR="00FB3F68" w:rsidRDefault="00FB3F68">
      <w:pPr>
        <w:pStyle w:val="Heading1"/>
        <w:ind w:left="360" w:hanging="360"/>
        <w:rPr>
          <w:rFonts w:cstheme="minorBidi"/>
        </w:rPr>
      </w:pPr>
      <w:bookmarkStart w:id="0" w:name="_Toc242948888"/>
      <w:r>
        <w:rPr>
          <w:rFonts w:ascii="Calibri" w:hAnsi="Calibri" w:cs="Calibri"/>
        </w:rPr>
        <w:t>I.</w:t>
      </w:r>
      <w:r>
        <w:rPr>
          <w:rFonts w:ascii="Times New Roman" w:hAnsi="Times New Roman"/>
          <w:sz w:val="14"/>
          <w:szCs w:val="14"/>
        </w:rPr>
        <w:t xml:space="preserve">  </w:t>
      </w:r>
      <w:r>
        <w:rPr>
          <w:rFonts w:ascii="Calibri" w:hAnsi="Calibri" w:cs="Calibri"/>
        </w:rPr>
        <w:t>List of Figures</w:t>
      </w:r>
      <w:bookmarkEnd w:id="0"/>
    </w:p>
    <w:p w14:paraId="03024421" w14:textId="6F527867" w:rsidR="00FE5FFB" w:rsidRPr="00372C6B" w:rsidRDefault="00FE5FFB" w:rsidP="00FE5FFB">
      <w:pPr>
        <w:pStyle w:val="TOCHeading"/>
        <w:rPr>
          <w:rFonts w:ascii="Calibri" w:hAnsi="Calibri" w:cs="Calibri"/>
        </w:rPr>
      </w:pPr>
      <w:r w:rsidRPr="00372C6B">
        <w:rPr>
          <w:rFonts w:ascii="Calibri" w:hAnsi="Calibri" w:cs="Calibri"/>
        </w:rPr>
        <w:t>Table of</w:t>
      </w:r>
      <w:r>
        <w:rPr>
          <w:rFonts w:ascii="Calibri" w:hAnsi="Calibri" w:cs="Calibri"/>
        </w:rPr>
        <w:t xml:space="preserve"> Figure</w:t>
      </w:r>
      <w:r w:rsidRPr="00372C6B">
        <w:rPr>
          <w:rFonts w:ascii="Calibri" w:hAnsi="Calibri" w:cs="Calibri"/>
        </w:rPr>
        <w:t>s</w:t>
      </w:r>
    </w:p>
    <w:p w14:paraId="0C8FC329" w14:textId="240AFE27" w:rsidR="00FE5FFB" w:rsidRDefault="00FE5FFB">
      <w:pPr>
        <w:pStyle w:val="TableofFigures"/>
        <w:tabs>
          <w:tab w:val="right" w:leader="dot" w:pos="9350"/>
        </w:tabs>
        <w:rPr>
          <w:rFonts w:eastAsiaTheme="minorEastAsia"/>
          <w:noProof/>
        </w:rPr>
      </w:pPr>
      <w:r>
        <w:rPr>
          <w:rFonts w:ascii="Calibri" w:hAnsi="Calibri" w:cs="Calibri"/>
        </w:rPr>
        <w:fldChar w:fldCharType="begin"/>
      </w:r>
      <w:r>
        <w:rPr>
          <w:rFonts w:ascii="Calibri" w:hAnsi="Calibri" w:cs="Calibri"/>
        </w:rPr>
        <w:instrText xml:space="preserve"> TOC \h \z \c "Figure" </w:instrText>
      </w:r>
      <w:r>
        <w:rPr>
          <w:rFonts w:ascii="Calibri" w:hAnsi="Calibri" w:cs="Calibri"/>
        </w:rPr>
        <w:fldChar w:fldCharType="separate"/>
      </w:r>
      <w:hyperlink w:anchor="_Toc242913558" w:history="1">
        <w:r w:rsidRPr="0086048F">
          <w:rPr>
            <w:rStyle w:val="Hyperlink"/>
            <w:noProof/>
          </w:rPr>
          <w:t>Figure 1. Aeolus 500 kV Bus Voltage (Orange Marks the Time of Aeolus–Clover Line Opening; Magenta Marks the Time of Aeolus–Anticline Tripping)</w:t>
        </w:r>
        <w:r>
          <w:rPr>
            <w:noProof/>
            <w:webHidden/>
          </w:rPr>
          <w:tab/>
        </w:r>
        <w:r>
          <w:rPr>
            <w:noProof/>
            <w:webHidden/>
          </w:rPr>
          <w:fldChar w:fldCharType="begin"/>
        </w:r>
        <w:r>
          <w:rPr>
            <w:noProof/>
            <w:webHidden/>
          </w:rPr>
          <w:instrText xml:space="preserve"> PAGEREF _Toc242913558 \h </w:instrText>
        </w:r>
        <w:r>
          <w:rPr>
            <w:noProof/>
            <w:webHidden/>
          </w:rPr>
        </w:r>
        <w:r>
          <w:rPr>
            <w:noProof/>
            <w:webHidden/>
          </w:rPr>
          <w:fldChar w:fldCharType="separate"/>
        </w:r>
        <w:r>
          <w:rPr>
            <w:noProof/>
            <w:webHidden/>
          </w:rPr>
          <w:t>42</w:t>
        </w:r>
        <w:r>
          <w:rPr>
            <w:noProof/>
            <w:webHidden/>
          </w:rPr>
          <w:fldChar w:fldCharType="end"/>
        </w:r>
      </w:hyperlink>
    </w:p>
    <w:p w14:paraId="023EAC9A" w14:textId="21FE26D3" w:rsidR="00FE5FFB" w:rsidRDefault="00FE5FFB">
      <w:pPr>
        <w:pStyle w:val="TableofFigures"/>
        <w:tabs>
          <w:tab w:val="right" w:leader="dot" w:pos="9350"/>
        </w:tabs>
        <w:rPr>
          <w:rFonts w:eastAsiaTheme="minorEastAsia"/>
          <w:noProof/>
        </w:rPr>
      </w:pPr>
      <w:hyperlink w:anchor="_Toc242913559" w:history="1">
        <w:r w:rsidRPr="0086048F">
          <w:rPr>
            <w:rStyle w:val="Hyperlink"/>
            <w:noProof/>
          </w:rPr>
          <w:t>Figure 2. System frequency before and after the trip at Granada.</w:t>
        </w:r>
        <w:r>
          <w:rPr>
            <w:noProof/>
            <w:webHidden/>
          </w:rPr>
          <w:tab/>
        </w:r>
        <w:r>
          <w:rPr>
            <w:noProof/>
            <w:webHidden/>
          </w:rPr>
          <w:fldChar w:fldCharType="begin"/>
        </w:r>
        <w:r>
          <w:rPr>
            <w:noProof/>
            <w:webHidden/>
          </w:rPr>
          <w:instrText xml:space="preserve"> PAGEREF _Toc242913559 \h </w:instrText>
        </w:r>
        <w:r>
          <w:rPr>
            <w:noProof/>
            <w:webHidden/>
          </w:rPr>
        </w:r>
        <w:r>
          <w:rPr>
            <w:noProof/>
            <w:webHidden/>
          </w:rPr>
          <w:fldChar w:fldCharType="separate"/>
        </w:r>
        <w:r>
          <w:rPr>
            <w:noProof/>
            <w:webHidden/>
          </w:rPr>
          <w:t>45</w:t>
        </w:r>
        <w:r>
          <w:rPr>
            <w:noProof/>
            <w:webHidden/>
          </w:rPr>
          <w:fldChar w:fldCharType="end"/>
        </w:r>
      </w:hyperlink>
    </w:p>
    <w:p w14:paraId="397045F8" w14:textId="3E91D9E3" w:rsidR="00FE5FFB" w:rsidRDefault="00FE5FFB">
      <w:pPr>
        <w:pStyle w:val="TableofFigures"/>
        <w:tabs>
          <w:tab w:val="right" w:leader="dot" w:pos="9350"/>
        </w:tabs>
        <w:rPr>
          <w:rFonts w:eastAsiaTheme="minorEastAsia"/>
          <w:noProof/>
        </w:rPr>
      </w:pPr>
      <w:hyperlink w:anchor="_Toc242913560" w:history="1">
        <w:r w:rsidRPr="0086048F">
          <w:rPr>
            <w:rStyle w:val="Hyperlink"/>
            <w:noProof/>
          </w:rPr>
          <w:t>Figure 3. West Murray RMS voltages at 12:35 hrs on 20 August 2020</w:t>
        </w:r>
        <w:r>
          <w:rPr>
            <w:noProof/>
            <w:webHidden/>
          </w:rPr>
          <w:tab/>
        </w:r>
        <w:r>
          <w:rPr>
            <w:noProof/>
            <w:webHidden/>
          </w:rPr>
          <w:fldChar w:fldCharType="begin"/>
        </w:r>
        <w:r>
          <w:rPr>
            <w:noProof/>
            <w:webHidden/>
          </w:rPr>
          <w:instrText xml:space="preserve"> PAGEREF _Toc242913560 \h </w:instrText>
        </w:r>
        <w:r>
          <w:rPr>
            <w:noProof/>
            <w:webHidden/>
          </w:rPr>
        </w:r>
        <w:r>
          <w:rPr>
            <w:noProof/>
            <w:webHidden/>
          </w:rPr>
          <w:fldChar w:fldCharType="separate"/>
        </w:r>
        <w:r>
          <w:rPr>
            <w:noProof/>
            <w:webHidden/>
          </w:rPr>
          <w:t>49</w:t>
        </w:r>
        <w:r>
          <w:rPr>
            <w:noProof/>
            <w:webHidden/>
          </w:rPr>
          <w:fldChar w:fldCharType="end"/>
        </w:r>
      </w:hyperlink>
    </w:p>
    <w:p w14:paraId="23391383" w14:textId="2677D5BD" w:rsidR="00FE5FFB" w:rsidRDefault="00FE5FFB">
      <w:pPr>
        <w:pStyle w:val="TableofFigures"/>
        <w:tabs>
          <w:tab w:val="right" w:leader="dot" w:pos="9350"/>
        </w:tabs>
        <w:rPr>
          <w:rFonts w:eastAsiaTheme="minorEastAsia"/>
          <w:noProof/>
        </w:rPr>
      </w:pPr>
      <w:hyperlink w:anchor="_Toc242913561" w:history="1">
        <w:r w:rsidRPr="0086048F">
          <w:rPr>
            <w:rStyle w:val="Hyperlink"/>
            <w:noProof/>
          </w:rPr>
          <w:t>Figure 4. Oscillation Analysis - Scotland N-2 Oscillation Event (2023-06-12)</w:t>
        </w:r>
        <w:r>
          <w:rPr>
            <w:noProof/>
            <w:webHidden/>
          </w:rPr>
          <w:tab/>
        </w:r>
        <w:r>
          <w:rPr>
            <w:noProof/>
            <w:webHidden/>
          </w:rPr>
          <w:fldChar w:fldCharType="begin"/>
        </w:r>
        <w:r>
          <w:rPr>
            <w:noProof/>
            <w:webHidden/>
          </w:rPr>
          <w:instrText xml:space="preserve"> PAGEREF _Toc242913561 \h </w:instrText>
        </w:r>
        <w:r>
          <w:rPr>
            <w:noProof/>
            <w:webHidden/>
          </w:rPr>
        </w:r>
        <w:r>
          <w:rPr>
            <w:noProof/>
            <w:webHidden/>
          </w:rPr>
          <w:fldChar w:fldCharType="separate"/>
        </w:r>
        <w:r>
          <w:rPr>
            <w:noProof/>
            <w:webHidden/>
          </w:rPr>
          <w:t>51</w:t>
        </w:r>
        <w:r>
          <w:rPr>
            <w:noProof/>
            <w:webHidden/>
          </w:rPr>
          <w:fldChar w:fldCharType="end"/>
        </w:r>
      </w:hyperlink>
    </w:p>
    <w:p w14:paraId="680C0BCF" w14:textId="5FAE5FF4" w:rsidR="00164247" w:rsidRDefault="00FE5FFB" w:rsidP="006A150E">
      <w:pPr>
        <w:rPr>
          <w:rFonts w:ascii="Calibri" w:hAnsi="Calibri" w:cs="Calibri"/>
        </w:rPr>
      </w:pPr>
      <w:r>
        <w:rPr>
          <w:rFonts w:ascii="Calibri" w:hAnsi="Calibri" w:cs="Calibri"/>
        </w:rPr>
        <w:fldChar w:fldCharType="end"/>
      </w:r>
    </w:p>
    <w:p w14:paraId="2563B63A" w14:textId="77777777" w:rsidR="00164247" w:rsidRDefault="00164247" w:rsidP="006A150E">
      <w:pPr>
        <w:rPr>
          <w:rFonts w:ascii="Calibri" w:hAnsi="Calibri" w:cs="Calibri"/>
        </w:rPr>
      </w:pPr>
    </w:p>
    <w:p w14:paraId="42698149" w14:textId="77777777" w:rsidR="00902475" w:rsidRPr="00372C6B" w:rsidRDefault="003424F3" w:rsidP="003424F3">
      <w:pPr>
        <w:pStyle w:val="Heading1"/>
        <w:ind w:left="360" w:hanging="360"/>
        <w:rPr>
          <w:rFonts w:ascii="Calibri" w:hAnsi="Calibri" w:cs="Calibri"/>
        </w:rPr>
      </w:pPr>
      <w:bookmarkStart w:id="1" w:name="_Toc242948889"/>
      <w:r w:rsidRPr="003424F3">
        <w:rPr>
          <w:rFonts w:ascii="Calibri" w:hAnsi="Calibri" w:cs="Calibri"/>
        </w:rPr>
        <w:t>I</w:t>
      </w:r>
      <w:r w:rsidR="00BC315C" w:rsidRPr="00951739">
        <w:rPr>
          <w:rFonts w:ascii="Calibri" w:hAnsi="Calibri" w:cs="Calibri"/>
        </w:rPr>
        <w:t>I.</w:t>
      </w:r>
      <w:r w:rsidR="00BC315C" w:rsidRPr="00951739">
        <w:rPr>
          <w:rFonts w:ascii="Times New Roman" w:hAnsi="Times New Roman"/>
          <w:sz w:val="14"/>
          <w:szCs w:val="14"/>
        </w:rPr>
        <w:t xml:space="preserve">  </w:t>
      </w:r>
      <w:r w:rsidR="00BC315C" w:rsidRPr="00372C6B">
        <w:rPr>
          <w:rFonts w:ascii="Calibri" w:hAnsi="Calibri" w:cs="Calibri"/>
        </w:rPr>
        <w:t>Acronyms, Concepts and Definitions</w:t>
      </w:r>
      <w:bookmarkEnd w:id="1"/>
    </w:p>
    <w:tbl>
      <w:tblPr>
        <w:tblStyle w:val="TableGrid"/>
        <w:tblW w:w="8630" w:type="dxa"/>
        <w:tblInd w:w="720" w:type="dxa"/>
        <w:tblLook w:val="04A0" w:firstRow="1" w:lastRow="0" w:firstColumn="1" w:lastColumn="0" w:noHBand="0" w:noVBand="1"/>
      </w:tblPr>
      <w:tblGrid>
        <w:gridCol w:w="3775"/>
        <w:gridCol w:w="4855"/>
      </w:tblGrid>
      <w:tr w:rsidR="00011CC6" w:rsidRPr="00372C6B" w14:paraId="6BA36084" w14:textId="77777777" w:rsidTr="004A644F">
        <w:tc>
          <w:tcPr>
            <w:tcW w:w="8630" w:type="dxa"/>
            <w:gridSpan w:val="2"/>
          </w:tcPr>
          <w:p w14:paraId="52AA559E" w14:textId="1CA5F943" w:rsidR="00011CC6" w:rsidRPr="00372C6B" w:rsidRDefault="00011CC6" w:rsidP="00011CC6">
            <w:pPr>
              <w:pStyle w:val="ListParagraph"/>
              <w:ind w:left="0"/>
              <w:jc w:val="center"/>
              <w:rPr>
                <w:rFonts w:ascii="Calibri" w:hAnsi="Calibri" w:cs="Calibri"/>
                <w:b/>
                <w:bCs/>
              </w:rPr>
            </w:pPr>
            <w:r w:rsidRPr="00372C6B">
              <w:rPr>
                <w:rFonts w:ascii="Calibri" w:hAnsi="Calibri" w:cs="Calibri"/>
                <w:b/>
                <w:bCs/>
              </w:rPr>
              <w:t>Acronyms</w:t>
            </w:r>
            <w:r w:rsidR="004E4648" w:rsidRPr="00372C6B">
              <w:rPr>
                <w:rFonts w:ascii="Calibri" w:hAnsi="Calibri" w:cs="Calibri"/>
                <w:b/>
                <w:bCs/>
              </w:rPr>
              <w:t>, Concepts</w:t>
            </w:r>
            <w:r w:rsidRPr="00372C6B">
              <w:rPr>
                <w:rFonts w:ascii="Calibri" w:hAnsi="Calibri" w:cs="Calibri"/>
                <w:b/>
                <w:bCs/>
              </w:rPr>
              <w:t xml:space="preserve"> and Definitions Used in Report</w:t>
            </w:r>
          </w:p>
        </w:tc>
      </w:tr>
      <w:tr w:rsidR="00011CC6" w:rsidRPr="00372C6B" w14:paraId="0C6387DB" w14:textId="77777777" w:rsidTr="004A644F">
        <w:tc>
          <w:tcPr>
            <w:tcW w:w="3775" w:type="dxa"/>
          </w:tcPr>
          <w:p w14:paraId="75BAAB26" w14:textId="57FB11B1" w:rsidR="00011CC6" w:rsidRPr="00372C6B" w:rsidRDefault="00011CC6" w:rsidP="00011CC6">
            <w:pPr>
              <w:pStyle w:val="ListParagraph"/>
              <w:ind w:left="0"/>
              <w:rPr>
                <w:rFonts w:ascii="Calibri" w:hAnsi="Calibri" w:cs="Calibri"/>
                <w:b/>
                <w:bCs/>
              </w:rPr>
            </w:pPr>
            <w:r w:rsidRPr="00372C6B">
              <w:rPr>
                <w:rFonts w:ascii="Calibri" w:hAnsi="Calibri" w:cs="Calibri"/>
                <w:b/>
                <w:bCs/>
              </w:rPr>
              <w:t>Acronym or Concept</w:t>
            </w:r>
          </w:p>
        </w:tc>
        <w:tc>
          <w:tcPr>
            <w:tcW w:w="4855" w:type="dxa"/>
          </w:tcPr>
          <w:p w14:paraId="1544D31C" w14:textId="501B2527" w:rsidR="00011CC6" w:rsidRPr="00372C6B" w:rsidRDefault="00011CC6" w:rsidP="00011CC6">
            <w:pPr>
              <w:pStyle w:val="ListParagraph"/>
              <w:ind w:left="0"/>
              <w:jc w:val="center"/>
              <w:rPr>
                <w:rFonts w:ascii="Calibri" w:hAnsi="Calibri" w:cs="Calibri"/>
                <w:b/>
                <w:bCs/>
              </w:rPr>
            </w:pPr>
            <w:r w:rsidRPr="00372C6B">
              <w:rPr>
                <w:rFonts w:ascii="Calibri" w:hAnsi="Calibri" w:cs="Calibri"/>
                <w:b/>
                <w:bCs/>
              </w:rPr>
              <w:t>Definition</w:t>
            </w:r>
          </w:p>
        </w:tc>
      </w:tr>
      <w:tr w:rsidR="003E4B42" w:rsidRPr="00372C6B" w14:paraId="52555F30" w14:textId="77777777" w:rsidTr="004A644F">
        <w:tc>
          <w:tcPr>
            <w:tcW w:w="3775" w:type="dxa"/>
          </w:tcPr>
          <w:p w14:paraId="1080DABE" w14:textId="226A4317" w:rsidR="003E4B42" w:rsidRPr="00372C6B" w:rsidRDefault="003E4B42" w:rsidP="00011CC6">
            <w:pPr>
              <w:pStyle w:val="ListParagraph"/>
              <w:ind w:left="0"/>
              <w:rPr>
                <w:rFonts w:ascii="Calibri" w:hAnsi="Calibri" w:cs="Calibri"/>
              </w:rPr>
            </w:pPr>
            <w:r w:rsidRPr="00372C6B">
              <w:rPr>
                <w:rFonts w:ascii="Calibri" w:hAnsi="Calibri" w:cs="Calibri"/>
              </w:rPr>
              <w:t>AC</w:t>
            </w:r>
          </w:p>
        </w:tc>
        <w:tc>
          <w:tcPr>
            <w:tcW w:w="4855" w:type="dxa"/>
          </w:tcPr>
          <w:p w14:paraId="3A54628C" w14:textId="407A365D" w:rsidR="003E4B42" w:rsidRPr="00372C6B" w:rsidRDefault="003E4B42" w:rsidP="00011CC6">
            <w:pPr>
              <w:pStyle w:val="ListParagraph"/>
              <w:ind w:left="0"/>
              <w:rPr>
                <w:rFonts w:ascii="Calibri" w:hAnsi="Calibri" w:cs="Calibri"/>
              </w:rPr>
            </w:pPr>
            <w:r w:rsidRPr="00372C6B">
              <w:rPr>
                <w:rFonts w:ascii="Calibri" w:hAnsi="Calibri" w:cs="Calibri"/>
              </w:rPr>
              <w:t>Alternating Current</w:t>
            </w:r>
          </w:p>
        </w:tc>
      </w:tr>
      <w:tr w:rsidR="003E4B42" w:rsidRPr="00372C6B" w14:paraId="61D39412" w14:textId="77777777" w:rsidTr="004A644F">
        <w:tc>
          <w:tcPr>
            <w:tcW w:w="3775" w:type="dxa"/>
          </w:tcPr>
          <w:p w14:paraId="06BF6610" w14:textId="26930D3A" w:rsidR="003E4B42" w:rsidRPr="00372C6B" w:rsidRDefault="003E4B42" w:rsidP="00011CC6">
            <w:pPr>
              <w:pStyle w:val="ListParagraph"/>
              <w:ind w:left="0"/>
              <w:rPr>
                <w:rFonts w:ascii="Calibri" w:hAnsi="Calibri" w:cs="Calibri"/>
              </w:rPr>
            </w:pPr>
            <w:r w:rsidRPr="00372C6B">
              <w:rPr>
                <w:rFonts w:ascii="Calibri" w:hAnsi="Calibri" w:cs="Calibri"/>
              </w:rPr>
              <w:t>AEMO</w:t>
            </w:r>
          </w:p>
        </w:tc>
        <w:tc>
          <w:tcPr>
            <w:tcW w:w="4855" w:type="dxa"/>
          </w:tcPr>
          <w:p w14:paraId="77BB26FC" w14:textId="6F560F09" w:rsidR="003E4B42" w:rsidRPr="00372C6B" w:rsidRDefault="003E4B42" w:rsidP="00011CC6">
            <w:pPr>
              <w:pStyle w:val="ListParagraph"/>
              <w:ind w:left="0"/>
              <w:rPr>
                <w:rFonts w:ascii="Calibri" w:hAnsi="Calibri" w:cs="Calibri"/>
              </w:rPr>
            </w:pPr>
            <w:r w:rsidRPr="00372C6B">
              <w:rPr>
                <w:rFonts w:ascii="Calibri" w:hAnsi="Calibri" w:cs="Calibri"/>
              </w:rPr>
              <w:t>Australia Energy Market Operator</w:t>
            </w:r>
          </w:p>
        </w:tc>
      </w:tr>
      <w:tr w:rsidR="003E4B42" w:rsidRPr="00372C6B" w14:paraId="677436F7" w14:textId="77777777" w:rsidTr="004A644F">
        <w:tc>
          <w:tcPr>
            <w:tcW w:w="3775" w:type="dxa"/>
          </w:tcPr>
          <w:p w14:paraId="7A6F6D25" w14:textId="206190B9" w:rsidR="003E4B42" w:rsidRPr="00372C6B" w:rsidRDefault="003E4B42" w:rsidP="00011CC6">
            <w:pPr>
              <w:pStyle w:val="ListParagraph"/>
              <w:ind w:left="0"/>
              <w:rPr>
                <w:rFonts w:ascii="Calibri" w:hAnsi="Calibri" w:cs="Calibri"/>
              </w:rPr>
            </w:pPr>
            <w:r w:rsidRPr="00372C6B">
              <w:rPr>
                <w:rFonts w:ascii="Calibri" w:hAnsi="Calibri" w:cs="Calibri"/>
              </w:rPr>
              <w:t>AER</w:t>
            </w:r>
          </w:p>
        </w:tc>
        <w:tc>
          <w:tcPr>
            <w:tcW w:w="4855" w:type="dxa"/>
          </w:tcPr>
          <w:p w14:paraId="1FBB1729" w14:textId="11706418" w:rsidR="003E4B42" w:rsidRPr="00372C6B" w:rsidRDefault="003E4B42" w:rsidP="00011CC6">
            <w:pPr>
              <w:pStyle w:val="ListParagraph"/>
              <w:ind w:left="0"/>
              <w:rPr>
                <w:rFonts w:ascii="Calibri" w:hAnsi="Calibri" w:cs="Calibri"/>
              </w:rPr>
            </w:pPr>
            <w:r w:rsidRPr="00372C6B">
              <w:rPr>
                <w:rFonts w:ascii="Calibri" w:hAnsi="Calibri" w:cs="Calibri"/>
              </w:rPr>
              <w:t>Australian Energy Regulator</w:t>
            </w:r>
          </w:p>
        </w:tc>
      </w:tr>
      <w:tr w:rsidR="00C66DD3" w:rsidRPr="00372C6B" w14:paraId="3CF2A7D7" w14:textId="77777777" w:rsidTr="004A644F">
        <w:tc>
          <w:tcPr>
            <w:tcW w:w="3775" w:type="dxa"/>
          </w:tcPr>
          <w:p w14:paraId="6D1F68AF" w14:textId="6B1D0A27" w:rsidR="00C66DD3" w:rsidRPr="00372C6B" w:rsidRDefault="00C66DD3" w:rsidP="00011CC6">
            <w:pPr>
              <w:pStyle w:val="ListParagraph"/>
              <w:ind w:left="0"/>
              <w:rPr>
                <w:rFonts w:ascii="Calibri" w:hAnsi="Calibri" w:cs="Calibri"/>
              </w:rPr>
            </w:pPr>
            <w:r w:rsidRPr="00372C6B">
              <w:rPr>
                <w:rFonts w:ascii="Calibri" w:hAnsi="Calibri" w:cs="Calibri"/>
              </w:rPr>
              <w:t>BA</w:t>
            </w:r>
          </w:p>
        </w:tc>
        <w:tc>
          <w:tcPr>
            <w:tcW w:w="4855" w:type="dxa"/>
          </w:tcPr>
          <w:p w14:paraId="68FFEB4C" w14:textId="18E70891" w:rsidR="00C66DD3" w:rsidRPr="00372C6B" w:rsidRDefault="00C66DD3" w:rsidP="00011CC6">
            <w:pPr>
              <w:pStyle w:val="ListParagraph"/>
              <w:ind w:left="0"/>
              <w:rPr>
                <w:rFonts w:ascii="Calibri" w:hAnsi="Calibri" w:cs="Calibri"/>
              </w:rPr>
            </w:pPr>
            <w:r w:rsidRPr="00372C6B">
              <w:rPr>
                <w:rFonts w:ascii="Calibri" w:hAnsi="Calibri" w:cs="Calibri"/>
              </w:rPr>
              <w:t>Balancing Authority</w:t>
            </w:r>
          </w:p>
        </w:tc>
      </w:tr>
      <w:tr w:rsidR="00011CC6" w:rsidRPr="00372C6B" w14:paraId="2199E3B5" w14:textId="77777777" w:rsidTr="004A644F">
        <w:tc>
          <w:tcPr>
            <w:tcW w:w="3775" w:type="dxa"/>
          </w:tcPr>
          <w:p w14:paraId="12D8ACE8" w14:textId="3AA01D90" w:rsidR="00011CC6" w:rsidRPr="00372C6B" w:rsidRDefault="00011CC6" w:rsidP="00011CC6">
            <w:pPr>
              <w:pStyle w:val="ListParagraph"/>
              <w:ind w:left="0"/>
              <w:rPr>
                <w:rFonts w:ascii="Calibri" w:hAnsi="Calibri" w:cs="Calibri"/>
              </w:rPr>
            </w:pPr>
            <w:r w:rsidRPr="00372C6B">
              <w:rPr>
                <w:rFonts w:ascii="Calibri" w:hAnsi="Calibri" w:cs="Calibri"/>
              </w:rPr>
              <w:t>BES</w:t>
            </w:r>
          </w:p>
        </w:tc>
        <w:tc>
          <w:tcPr>
            <w:tcW w:w="4855" w:type="dxa"/>
          </w:tcPr>
          <w:p w14:paraId="1D6E0A9D" w14:textId="2A4B549A" w:rsidR="00011CC6" w:rsidRPr="00372C6B" w:rsidRDefault="00751D59" w:rsidP="00011CC6">
            <w:pPr>
              <w:pStyle w:val="ListParagraph"/>
              <w:ind w:left="0"/>
              <w:rPr>
                <w:rFonts w:ascii="Calibri" w:hAnsi="Calibri" w:cs="Calibri"/>
              </w:rPr>
            </w:pPr>
            <w:r w:rsidRPr="00372C6B">
              <w:rPr>
                <w:rFonts w:ascii="Calibri" w:hAnsi="Calibri" w:cs="Calibri"/>
              </w:rPr>
              <w:t>Bulk Electric System</w:t>
            </w:r>
          </w:p>
        </w:tc>
      </w:tr>
      <w:tr w:rsidR="00D561E7" w14:paraId="49A76B0D" w14:textId="77777777" w:rsidTr="00D561E7">
        <w:tc>
          <w:tcPr>
            <w:tcW w:w="3775" w:type="dxa"/>
            <w:hideMark/>
          </w:tcPr>
          <w:p w14:paraId="5363EB69" w14:textId="77777777" w:rsidR="00D561E7" w:rsidRDefault="00D561E7">
            <w:pPr>
              <w:pStyle w:val="ListParagraph"/>
              <w:ind w:left="0"/>
            </w:pPr>
            <w:r>
              <w:rPr>
                <w:rFonts w:ascii="Calibri" w:hAnsi="Calibri" w:cs="Calibri"/>
              </w:rPr>
              <w:t>BESS</w:t>
            </w:r>
          </w:p>
        </w:tc>
        <w:tc>
          <w:tcPr>
            <w:tcW w:w="4855" w:type="dxa"/>
            <w:hideMark/>
          </w:tcPr>
          <w:p w14:paraId="3B4B0FBC" w14:textId="77777777" w:rsidR="00D561E7" w:rsidRDefault="00D561E7">
            <w:pPr>
              <w:pStyle w:val="ListParagraph"/>
              <w:ind w:left="0"/>
            </w:pPr>
            <w:r>
              <w:rPr>
                <w:rFonts w:ascii="Calibri" w:hAnsi="Calibri" w:cs="Calibri"/>
              </w:rPr>
              <w:t>Battery Energy Storage System</w:t>
            </w:r>
          </w:p>
        </w:tc>
      </w:tr>
      <w:tr w:rsidR="00FF1BE8" w:rsidRPr="00372C6B" w14:paraId="06B92896" w14:textId="77777777" w:rsidTr="004A644F">
        <w:tc>
          <w:tcPr>
            <w:tcW w:w="3775" w:type="dxa"/>
          </w:tcPr>
          <w:p w14:paraId="0B32C314" w14:textId="32ADB361" w:rsidR="00FF1BE8" w:rsidRPr="00372C6B" w:rsidRDefault="00FF1BE8" w:rsidP="00011CC6">
            <w:pPr>
              <w:pStyle w:val="ListParagraph"/>
              <w:ind w:left="0"/>
              <w:rPr>
                <w:rFonts w:ascii="Calibri" w:hAnsi="Calibri" w:cs="Calibri"/>
              </w:rPr>
            </w:pPr>
            <w:r w:rsidRPr="00372C6B">
              <w:rPr>
                <w:rFonts w:ascii="Calibri" w:hAnsi="Calibri" w:cs="Calibri"/>
              </w:rPr>
              <w:t>BCA</w:t>
            </w:r>
          </w:p>
        </w:tc>
        <w:tc>
          <w:tcPr>
            <w:tcW w:w="4855" w:type="dxa"/>
          </w:tcPr>
          <w:p w14:paraId="35728DDD" w14:textId="1A008096" w:rsidR="00FF1BE8" w:rsidRPr="00372C6B" w:rsidRDefault="00FF1BE8" w:rsidP="00011CC6">
            <w:pPr>
              <w:pStyle w:val="ListParagraph"/>
              <w:ind w:left="0"/>
              <w:rPr>
                <w:rFonts w:ascii="Calibri" w:hAnsi="Calibri" w:cs="Calibri"/>
              </w:rPr>
            </w:pPr>
            <w:r w:rsidRPr="00372C6B">
              <w:rPr>
                <w:rFonts w:ascii="Calibri" w:hAnsi="Calibri" w:cs="Calibri"/>
              </w:rPr>
              <w:t>BES Cyber Asset</w:t>
            </w:r>
          </w:p>
        </w:tc>
      </w:tr>
      <w:tr w:rsidR="00FF1BE8" w:rsidRPr="00372C6B" w14:paraId="637989C1" w14:textId="77777777" w:rsidTr="004A644F">
        <w:tc>
          <w:tcPr>
            <w:tcW w:w="3775" w:type="dxa"/>
          </w:tcPr>
          <w:p w14:paraId="0E3A5076" w14:textId="471E25F0" w:rsidR="00FF1BE8" w:rsidRPr="00372C6B" w:rsidRDefault="00FF1BE8" w:rsidP="00011CC6">
            <w:pPr>
              <w:pStyle w:val="ListParagraph"/>
              <w:ind w:left="0"/>
              <w:rPr>
                <w:rFonts w:ascii="Calibri" w:hAnsi="Calibri" w:cs="Calibri"/>
              </w:rPr>
            </w:pPr>
            <w:r w:rsidRPr="00372C6B">
              <w:rPr>
                <w:rFonts w:ascii="Calibri" w:hAnsi="Calibri" w:cs="Calibri"/>
              </w:rPr>
              <w:t>BCS</w:t>
            </w:r>
          </w:p>
        </w:tc>
        <w:tc>
          <w:tcPr>
            <w:tcW w:w="4855" w:type="dxa"/>
          </w:tcPr>
          <w:p w14:paraId="6E2D85F9" w14:textId="6D700F6D" w:rsidR="00FF1BE8" w:rsidRPr="00372C6B" w:rsidRDefault="00FF1BE8" w:rsidP="00011CC6">
            <w:pPr>
              <w:pStyle w:val="ListParagraph"/>
              <w:ind w:left="0"/>
              <w:rPr>
                <w:rFonts w:ascii="Calibri" w:hAnsi="Calibri" w:cs="Calibri"/>
              </w:rPr>
            </w:pPr>
            <w:r w:rsidRPr="00372C6B">
              <w:rPr>
                <w:rFonts w:ascii="Calibri" w:hAnsi="Calibri" w:cs="Calibri"/>
              </w:rPr>
              <w:t>BES Cyber System</w:t>
            </w:r>
          </w:p>
        </w:tc>
      </w:tr>
      <w:tr w:rsidR="00FF1BE8" w:rsidRPr="00372C6B" w14:paraId="67351998" w14:textId="77777777" w:rsidTr="004A644F">
        <w:tc>
          <w:tcPr>
            <w:tcW w:w="3775" w:type="dxa"/>
          </w:tcPr>
          <w:p w14:paraId="092701C2" w14:textId="4C43A02B" w:rsidR="00FF1BE8" w:rsidRPr="00372C6B" w:rsidRDefault="00FF1BE8" w:rsidP="00011CC6">
            <w:pPr>
              <w:pStyle w:val="ListParagraph"/>
              <w:ind w:left="0"/>
              <w:rPr>
                <w:rFonts w:ascii="Calibri" w:hAnsi="Calibri" w:cs="Calibri"/>
              </w:rPr>
            </w:pPr>
            <w:r w:rsidRPr="00372C6B">
              <w:rPr>
                <w:rFonts w:ascii="Calibri" w:hAnsi="Calibri" w:cs="Calibri"/>
              </w:rPr>
              <w:t>CIGRE</w:t>
            </w:r>
          </w:p>
        </w:tc>
        <w:tc>
          <w:tcPr>
            <w:tcW w:w="4855" w:type="dxa"/>
          </w:tcPr>
          <w:p w14:paraId="387B2487" w14:textId="1FCF951C" w:rsidR="00FF1BE8" w:rsidRPr="00372C6B" w:rsidRDefault="00943BC0" w:rsidP="00011CC6">
            <w:pPr>
              <w:pStyle w:val="ListParagraph"/>
              <w:ind w:left="0"/>
              <w:rPr>
                <w:rFonts w:ascii="Calibri" w:hAnsi="Calibri" w:cs="Calibri"/>
              </w:rPr>
            </w:pPr>
            <w:r w:rsidRPr="00372C6B">
              <w:rPr>
                <w:rFonts w:ascii="Calibri" w:hAnsi="Calibri" w:cs="Calibri"/>
              </w:rPr>
              <w:t>C</w:t>
            </w:r>
            <w:r w:rsidR="00FF1BE8" w:rsidRPr="00372C6B">
              <w:rPr>
                <w:rFonts w:ascii="Calibri" w:hAnsi="Calibri" w:cs="Calibri"/>
              </w:rPr>
              <w:t>onseil International des Grands Réseaux Électriques (in English: International Council on Large Electric Systems)</w:t>
            </w:r>
          </w:p>
        </w:tc>
      </w:tr>
      <w:tr w:rsidR="00FF1BE8" w:rsidRPr="00372C6B" w14:paraId="5B31EC51" w14:textId="77777777" w:rsidTr="004A644F">
        <w:tc>
          <w:tcPr>
            <w:tcW w:w="3775" w:type="dxa"/>
          </w:tcPr>
          <w:p w14:paraId="51D096EF" w14:textId="5CD58672" w:rsidR="00FF1BE8" w:rsidRPr="00372C6B" w:rsidRDefault="00FF1BE8" w:rsidP="00011CC6">
            <w:pPr>
              <w:pStyle w:val="ListParagraph"/>
              <w:ind w:left="0"/>
              <w:rPr>
                <w:rFonts w:ascii="Calibri" w:hAnsi="Calibri" w:cs="Calibri"/>
              </w:rPr>
            </w:pPr>
            <w:r w:rsidRPr="00372C6B">
              <w:rPr>
                <w:rFonts w:ascii="Calibri" w:hAnsi="Calibri" w:cs="Calibri"/>
              </w:rPr>
              <w:t>DC</w:t>
            </w:r>
          </w:p>
        </w:tc>
        <w:tc>
          <w:tcPr>
            <w:tcW w:w="4855" w:type="dxa"/>
          </w:tcPr>
          <w:p w14:paraId="4A3B2CC9" w14:textId="541B50C6" w:rsidR="00FF1BE8" w:rsidRPr="00372C6B" w:rsidRDefault="00FF1BE8" w:rsidP="00011CC6">
            <w:pPr>
              <w:pStyle w:val="ListParagraph"/>
              <w:ind w:left="0"/>
              <w:rPr>
                <w:rFonts w:ascii="Calibri" w:hAnsi="Calibri" w:cs="Calibri"/>
              </w:rPr>
            </w:pPr>
            <w:r w:rsidRPr="00372C6B">
              <w:rPr>
                <w:rFonts w:ascii="Calibri" w:hAnsi="Calibri" w:cs="Calibri"/>
              </w:rPr>
              <w:t>Direct Current</w:t>
            </w:r>
          </w:p>
        </w:tc>
      </w:tr>
      <w:tr w:rsidR="004B6E41" w:rsidRPr="00372C6B" w14:paraId="1209F570" w14:textId="77777777" w:rsidTr="004A644F">
        <w:tc>
          <w:tcPr>
            <w:tcW w:w="3775" w:type="dxa"/>
          </w:tcPr>
          <w:p w14:paraId="73613D67" w14:textId="4C4498E0" w:rsidR="004B6E41" w:rsidRPr="00372C6B" w:rsidRDefault="004B6E41" w:rsidP="00011CC6">
            <w:pPr>
              <w:pStyle w:val="ListParagraph"/>
              <w:ind w:left="0"/>
              <w:rPr>
                <w:rFonts w:ascii="Calibri" w:hAnsi="Calibri" w:cs="Calibri"/>
              </w:rPr>
            </w:pPr>
            <w:r w:rsidRPr="00372C6B">
              <w:rPr>
                <w:rFonts w:ascii="Calibri" w:hAnsi="Calibri" w:cs="Calibri"/>
              </w:rPr>
              <w:t>Cascading</w:t>
            </w:r>
            <w:r w:rsidR="00136007" w:rsidRPr="00372C6B">
              <w:rPr>
                <w:rFonts w:ascii="Calibri" w:hAnsi="Calibri" w:cs="Calibri"/>
              </w:rPr>
              <w:t xml:space="preserve"> Outage</w:t>
            </w:r>
          </w:p>
        </w:tc>
        <w:tc>
          <w:tcPr>
            <w:tcW w:w="4855" w:type="dxa"/>
          </w:tcPr>
          <w:p w14:paraId="747D9D57" w14:textId="2F0D9F7B" w:rsidR="004B6E41" w:rsidRPr="00372C6B" w:rsidRDefault="00136007" w:rsidP="004A3F95">
            <w:pPr>
              <w:rPr>
                <w:rFonts w:ascii="Calibri" w:hAnsi="Calibri" w:cs="Calibri"/>
              </w:rPr>
            </w:pPr>
            <w:r w:rsidRPr="00372C6B">
              <w:rPr>
                <w:rFonts w:ascii="Calibri" w:hAnsi="Calibri" w:cs="Calibri"/>
              </w:rPr>
              <w:t>A sequence of events in which an initial disturbance, or a set of disturbances, triggers a sequence of one or more dependent component outages</w:t>
            </w:r>
          </w:p>
        </w:tc>
      </w:tr>
      <w:tr w:rsidR="004A3F95" w:rsidRPr="00372C6B" w14:paraId="79220E26" w14:textId="77777777" w:rsidTr="004A644F">
        <w:tc>
          <w:tcPr>
            <w:tcW w:w="3775" w:type="dxa"/>
          </w:tcPr>
          <w:p w14:paraId="7405EE5C" w14:textId="0EE25CC8" w:rsidR="004A3F95" w:rsidRPr="00372C6B" w:rsidRDefault="004A3F95" w:rsidP="00011CC6">
            <w:pPr>
              <w:pStyle w:val="ListParagraph"/>
              <w:ind w:left="0"/>
              <w:rPr>
                <w:rFonts w:ascii="Calibri" w:hAnsi="Calibri" w:cs="Calibri"/>
              </w:rPr>
            </w:pPr>
            <w:r w:rsidRPr="00372C6B">
              <w:rPr>
                <w:rFonts w:ascii="Calibri" w:hAnsi="Calibri" w:cs="Calibri"/>
              </w:rPr>
              <w:t>Declining System Inertia</w:t>
            </w:r>
          </w:p>
        </w:tc>
        <w:tc>
          <w:tcPr>
            <w:tcW w:w="4855" w:type="dxa"/>
          </w:tcPr>
          <w:p w14:paraId="22964000" w14:textId="7933BBB0" w:rsidR="004A3F95" w:rsidRPr="00372C6B" w:rsidRDefault="004A3F95" w:rsidP="004A3F95">
            <w:pPr>
              <w:rPr>
                <w:rFonts w:ascii="Calibri" w:hAnsi="Calibri" w:cs="Calibri"/>
              </w:rPr>
            </w:pPr>
            <w:r w:rsidRPr="00372C6B">
              <w:rPr>
                <w:rFonts w:ascii="Calibri" w:hAnsi="Calibri" w:cs="Calibri"/>
              </w:rPr>
              <w:t xml:space="preserve">Reduction in the power system’s ability to resist sudden changes in frequency, typically caused by replacing large synchronous generators (which provide rotational inertia) with inverter-based resources like wind and solar. Lower inertia means the grid becomes more sensitive </w:t>
            </w:r>
            <w:r w:rsidRPr="00372C6B">
              <w:rPr>
                <w:rFonts w:ascii="Calibri" w:hAnsi="Calibri" w:cs="Calibri"/>
              </w:rPr>
              <w:lastRenderedPageBreak/>
              <w:t>to disturbances, making frequency control and stability harder.</w:t>
            </w:r>
          </w:p>
        </w:tc>
      </w:tr>
      <w:tr w:rsidR="00D957DA" w:rsidRPr="00372C6B" w14:paraId="37301813" w14:textId="77777777" w:rsidTr="004A644F">
        <w:tc>
          <w:tcPr>
            <w:tcW w:w="3775" w:type="dxa"/>
          </w:tcPr>
          <w:p w14:paraId="7EC67E65" w14:textId="695376BB" w:rsidR="00D957DA" w:rsidRPr="00372C6B" w:rsidRDefault="00D957DA" w:rsidP="00011CC6">
            <w:pPr>
              <w:pStyle w:val="ListParagraph"/>
              <w:ind w:left="0"/>
              <w:rPr>
                <w:rFonts w:ascii="Calibri" w:hAnsi="Calibri" w:cs="Calibri"/>
              </w:rPr>
            </w:pPr>
            <w:bookmarkStart w:id="2" w:name="_Hlk219283294"/>
            <w:r w:rsidRPr="00372C6B">
              <w:rPr>
                <w:rFonts w:ascii="Calibri" w:hAnsi="Calibri" w:cs="Calibri"/>
              </w:rPr>
              <w:lastRenderedPageBreak/>
              <w:t>DDR</w:t>
            </w:r>
          </w:p>
        </w:tc>
        <w:tc>
          <w:tcPr>
            <w:tcW w:w="4855" w:type="dxa"/>
          </w:tcPr>
          <w:p w14:paraId="1FEBE154" w14:textId="43540ACB" w:rsidR="00D957DA" w:rsidRPr="00372C6B" w:rsidRDefault="00D957DA" w:rsidP="004A3F95">
            <w:pPr>
              <w:rPr>
                <w:rFonts w:ascii="Calibri" w:hAnsi="Calibri" w:cs="Calibri"/>
              </w:rPr>
            </w:pPr>
            <w:r w:rsidRPr="00372C6B">
              <w:rPr>
                <w:rFonts w:ascii="Calibri" w:hAnsi="Calibri" w:cs="Calibri"/>
              </w:rPr>
              <w:t>Dynamic Disturbance Recording</w:t>
            </w:r>
          </w:p>
        </w:tc>
      </w:tr>
      <w:bookmarkEnd w:id="2"/>
      <w:tr w:rsidR="00011CC6" w:rsidRPr="00372C6B" w14:paraId="3BBE9DDE" w14:textId="77777777" w:rsidTr="004A644F">
        <w:tc>
          <w:tcPr>
            <w:tcW w:w="3775" w:type="dxa"/>
          </w:tcPr>
          <w:p w14:paraId="615F9640" w14:textId="14DA3815" w:rsidR="00011CC6" w:rsidRPr="00372C6B" w:rsidRDefault="00011CC6" w:rsidP="00011CC6">
            <w:pPr>
              <w:pStyle w:val="ListParagraph"/>
              <w:ind w:left="0"/>
              <w:rPr>
                <w:rFonts w:ascii="Calibri" w:hAnsi="Calibri" w:cs="Calibri"/>
              </w:rPr>
            </w:pPr>
            <w:r w:rsidRPr="00372C6B">
              <w:rPr>
                <w:rFonts w:ascii="Calibri" w:hAnsi="Calibri" w:cs="Calibri"/>
              </w:rPr>
              <w:t>DER</w:t>
            </w:r>
          </w:p>
        </w:tc>
        <w:tc>
          <w:tcPr>
            <w:tcW w:w="4855" w:type="dxa"/>
          </w:tcPr>
          <w:p w14:paraId="2B141035" w14:textId="7D00B69C" w:rsidR="00011CC6" w:rsidRPr="00372C6B" w:rsidRDefault="00751D59" w:rsidP="00011CC6">
            <w:pPr>
              <w:pStyle w:val="ListParagraph"/>
              <w:ind w:left="0"/>
              <w:rPr>
                <w:rFonts w:ascii="Calibri" w:hAnsi="Calibri" w:cs="Calibri"/>
              </w:rPr>
            </w:pPr>
            <w:r w:rsidRPr="00372C6B">
              <w:rPr>
                <w:rFonts w:ascii="Calibri" w:hAnsi="Calibri" w:cs="Calibri"/>
              </w:rPr>
              <w:t>Distributed Energy Resources</w:t>
            </w:r>
          </w:p>
        </w:tc>
      </w:tr>
      <w:tr w:rsidR="00FF1BE8" w:rsidRPr="00372C6B" w14:paraId="6BF3EC58" w14:textId="77777777" w:rsidTr="004A644F">
        <w:tc>
          <w:tcPr>
            <w:tcW w:w="3775" w:type="dxa"/>
          </w:tcPr>
          <w:p w14:paraId="73071CE4" w14:textId="57E2114F" w:rsidR="00FF1BE8" w:rsidRPr="00372C6B" w:rsidRDefault="00FF1BE8" w:rsidP="00011CC6">
            <w:pPr>
              <w:pStyle w:val="ListParagraph"/>
              <w:ind w:left="0"/>
              <w:rPr>
                <w:rFonts w:ascii="Calibri" w:hAnsi="Calibri" w:cs="Calibri"/>
              </w:rPr>
            </w:pPr>
            <w:r w:rsidRPr="00372C6B">
              <w:rPr>
                <w:rFonts w:ascii="Calibri" w:hAnsi="Calibri" w:cs="Calibri"/>
              </w:rPr>
              <w:t>ENTSO-E</w:t>
            </w:r>
          </w:p>
        </w:tc>
        <w:tc>
          <w:tcPr>
            <w:tcW w:w="4855" w:type="dxa"/>
          </w:tcPr>
          <w:p w14:paraId="72EC3D2D" w14:textId="5FBB6E34" w:rsidR="00FF1BE8" w:rsidRPr="00372C6B" w:rsidRDefault="00FF1BE8" w:rsidP="00011CC6">
            <w:pPr>
              <w:pStyle w:val="ListParagraph"/>
              <w:ind w:left="0"/>
              <w:rPr>
                <w:rFonts w:ascii="Calibri" w:hAnsi="Calibri" w:cs="Calibri"/>
              </w:rPr>
            </w:pPr>
            <w:r w:rsidRPr="00372C6B">
              <w:rPr>
                <w:rFonts w:ascii="Calibri" w:hAnsi="Calibri" w:cs="Calibri"/>
              </w:rPr>
              <w:t>European Network of Transmission System Operators for Electricity</w:t>
            </w:r>
          </w:p>
        </w:tc>
      </w:tr>
      <w:tr w:rsidR="001A178C" w:rsidRPr="00372C6B" w14:paraId="5F8C7A4B" w14:textId="77777777" w:rsidTr="004A644F">
        <w:tc>
          <w:tcPr>
            <w:tcW w:w="3775" w:type="dxa"/>
          </w:tcPr>
          <w:p w14:paraId="666407E1" w14:textId="4F76C6A0" w:rsidR="001A178C" w:rsidRPr="00372C6B" w:rsidRDefault="001A178C" w:rsidP="00011CC6">
            <w:pPr>
              <w:pStyle w:val="ListParagraph"/>
              <w:ind w:left="0"/>
              <w:rPr>
                <w:rFonts w:ascii="Calibri" w:hAnsi="Calibri" w:cs="Calibri"/>
              </w:rPr>
            </w:pPr>
            <w:r w:rsidRPr="00372C6B">
              <w:rPr>
                <w:rFonts w:ascii="Calibri" w:hAnsi="Calibri" w:cs="Calibri"/>
              </w:rPr>
              <w:t>ESIG</w:t>
            </w:r>
          </w:p>
        </w:tc>
        <w:tc>
          <w:tcPr>
            <w:tcW w:w="4855" w:type="dxa"/>
          </w:tcPr>
          <w:p w14:paraId="268F390D" w14:textId="0A13FEE7" w:rsidR="001A178C" w:rsidRPr="00372C6B" w:rsidRDefault="001A178C" w:rsidP="00011CC6">
            <w:pPr>
              <w:pStyle w:val="ListParagraph"/>
              <w:ind w:left="0"/>
              <w:rPr>
                <w:rFonts w:ascii="Calibri" w:hAnsi="Calibri" w:cs="Calibri"/>
              </w:rPr>
            </w:pPr>
            <w:r w:rsidRPr="00372C6B">
              <w:rPr>
                <w:rFonts w:ascii="Calibri" w:hAnsi="Calibri" w:cs="Calibri"/>
              </w:rPr>
              <w:t>Energy Systems Integration Group</w:t>
            </w:r>
          </w:p>
        </w:tc>
      </w:tr>
      <w:tr w:rsidR="00086AC6" w:rsidRPr="00372C6B" w14:paraId="5B9BECD7" w14:textId="77777777" w:rsidTr="004A644F">
        <w:tc>
          <w:tcPr>
            <w:tcW w:w="3775" w:type="dxa"/>
          </w:tcPr>
          <w:p w14:paraId="379E9A10" w14:textId="75CBB113" w:rsidR="00086AC6" w:rsidRPr="00372C6B" w:rsidRDefault="00086AC6" w:rsidP="00011CC6">
            <w:pPr>
              <w:pStyle w:val="ListParagraph"/>
              <w:ind w:left="0"/>
              <w:rPr>
                <w:rFonts w:ascii="Calibri" w:hAnsi="Calibri" w:cs="Calibri"/>
              </w:rPr>
            </w:pPr>
            <w:r w:rsidRPr="00372C6B">
              <w:rPr>
                <w:rFonts w:ascii="Calibri" w:hAnsi="Calibri" w:cs="Calibri"/>
              </w:rPr>
              <w:t>FERC</w:t>
            </w:r>
          </w:p>
        </w:tc>
        <w:tc>
          <w:tcPr>
            <w:tcW w:w="4855" w:type="dxa"/>
          </w:tcPr>
          <w:p w14:paraId="5A892D4E" w14:textId="15AA58EC" w:rsidR="00086AC6" w:rsidRPr="00372C6B" w:rsidRDefault="00086AC6" w:rsidP="00011CC6">
            <w:pPr>
              <w:pStyle w:val="ListParagraph"/>
              <w:ind w:left="0"/>
              <w:rPr>
                <w:rFonts w:ascii="Calibri" w:hAnsi="Calibri" w:cs="Calibri"/>
              </w:rPr>
            </w:pPr>
            <w:r w:rsidRPr="00372C6B">
              <w:rPr>
                <w:rFonts w:ascii="Calibri" w:hAnsi="Calibri" w:cs="Calibri"/>
              </w:rPr>
              <w:t>Federal Energy Regulatory Commission</w:t>
            </w:r>
          </w:p>
        </w:tc>
      </w:tr>
      <w:tr w:rsidR="00D957DA" w:rsidRPr="00372C6B" w14:paraId="66B11CE7" w14:textId="77777777" w:rsidTr="004A644F">
        <w:tc>
          <w:tcPr>
            <w:tcW w:w="3775" w:type="dxa"/>
          </w:tcPr>
          <w:p w14:paraId="05E63957" w14:textId="0236B015" w:rsidR="00D957DA" w:rsidRPr="00372C6B" w:rsidRDefault="00D957DA" w:rsidP="00011CC6">
            <w:pPr>
              <w:pStyle w:val="ListParagraph"/>
              <w:ind w:left="0"/>
              <w:rPr>
                <w:rFonts w:ascii="Calibri" w:hAnsi="Calibri" w:cs="Calibri"/>
              </w:rPr>
            </w:pPr>
            <w:r w:rsidRPr="00372C6B">
              <w:rPr>
                <w:rFonts w:ascii="Calibri" w:hAnsi="Calibri" w:cs="Calibri"/>
              </w:rPr>
              <w:t>FR</w:t>
            </w:r>
          </w:p>
        </w:tc>
        <w:tc>
          <w:tcPr>
            <w:tcW w:w="4855" w:type="dxa"/>
          </w:tcPr>
          <w:p w14:paraId="6C3274A0" w14:textId="42760B81" w:rsidR="00D957DA" w:rsidRPr="00372C6B" w:rsidRDefault="00D957DA" w:rsidP="00011CC6">
            <w:pPr>
              <w:pStyle w:val="ListParagraph"/>
              <w:ind w:left="0"/>
              <w:rPr>
                <w:rFonts w:ascii="Calibri" w:hAnsi="Calibri" w:cs="Calibri"/>
              </w:rPr>
            </w:pPr>
            <w:bookmarkStart w:id="3" w:name="_Hlk219283285"/>
            <w:r w:rsidRPr="00372C6B">
              <w:rPr>
                <w:rFonts w:ascii="Calibri" w:hAnsi="Calibri" w:cs="Calibri"/>
              </w:rPr>
              <w:t>Fault Recording</w:t>
            </w:r>
            <w:bookmarkEnd w:id="3"/>
          </w:p>
        </w:tc>
      </w:tr>
      <w:tr w:rsidR="00FF1BE8" w:rsidRPr="00372C6B" w14:paraId="199138AE" w14:textId="77777777" w:rsidTr="004A644F">
        <w:tc>
          <w:tcPr>
            <w:tcW w:w="3775" w:type="dxa"/>
          </w:tcPr>
          <w:p w14:paraId="59EDF83F" w14:textId="3076075E" w:rsidR="00FF1BE8" w:rsidRPr="00372C6B" w:rsidRDefault="00FF1BE8" w:rsidP="00011CC6">
            <w:pPr>
              <w:pStyle w:val="ListParagraph"/>
              <w:ind w:left="0"/>
              <w:rPr>
                <w:rFonts w:ascii="Calibri" w:hAnsi="Calibri" w:cs="Calibri"/>
              </w:rPr>
            </w:pPr>
            <w:r w:rsidRPr="00372C6B">
              <w:rPr>
                <w:rFonts w:ascii="Calibri" w:hAnsi="Calibri" w:cs="Calibri"/>
              </w:rPr>
              <w:t>GB</w:t>
            </w:r>
          </w:p>
        </w:tc>
        <w:tc>
          <w:tcPr>
            <w:tcW w:w="4855" w:type="dxa"/>
          </w:tcPr>
          <w:p w14:paraId="19598006" w14:textId="5C1760CC" w:rsidR="00FF1BE8" w:rsidRPr="00372C6B" w:rsidRDefault="00FF1BE8" w:rsidP="00011CC6">
            <w:pPr>
              <w:pStyle w:val="ListParagraph"/>
              <w:ind w:left="0"/>
              <w:rPr>
                <w:rFonts w:ascii="Calibri" w:hAnsi="Calibri" w:cs="Calibri"/>
              </w:rPr>
            </w:pPr>
            <w:r w:rsidRPr="00372C6B">
              <w:rPr>
                <w:rFonts w:ascii="Calibri" w:hAnsi="Calibri" w:cs="Calibri"/>
              </w:rPr>
              <w:t>Great Britain</w:t>
            </w:r>
          </w:p>
        </w:tc>
      </w:tr>
      <w:tr w:rsidR="00FF1BE8" w:rsidRPr="00372C6B" w14:paraId="7941F0A1" w14:textId="77777777" w:rsidTr="004A644F">
        <w:tc>
          <w:tcPr>
            <w:tcW w:w="3775" w:type="dxa"/>
          </w:tcPr>
          <w:p w14:paraId="267AD3D7" w14:textId="0CB8B759" w:rsidR="00FF1BE8" w:rsidRPr="00372C6B" w:rsidRDefault="00FF1BE8" w:rsidP="00011CC6">
            <w:pPr>
              <w:pStyle w:val="ListParagraph"/>
              <w:ind w:left="0"/>
              <w:rPr>
                <w:rFonts w:ascii="Calibri" w:hAnsi="Calibri" w:cs="Calibri"/>
              </w:rPr>
            </w:pPr>
            <w:r w:rsidRPr="00372C6B">
              <w:rPr>
                <w:rFonts w:ascii="Calibri" w:hAnsi="Calibri" w:cs="Calibri"/>
              </w:rPr>
              <w:t>GIC</w:t>
            </w:r>
          </w:p>
        </w:tc>
        <w:tc>
          <w:tcPr>
            <w:tcW w:w="4855" w:type="dxa"/>
          </w:tcPr>
          <w:p w14:paraId="511DA4A3" w14:textId="5112B644" w:rsidR="00FF1BE8" w:rsidRPr="00372C6B" w:rsidRDefault="00FF1BE8" w:rsidP="00011CC6">
            <w:pPr>
              <w:pStyle w:val="ListParagraph"/>
              <w:ind w:left="0"/>
              <w:rPr>
                <w:rFonts w:ascii="Calibri" w:hAnsi="Calibri" w:cs="Calibri"/>
              </w:rPr>
            </w:pPr>
            <w:r w:rsidRPr="00372C6B">
              <w:rPr>
                <w:rFonts w:ascii="Calibri" w:hAnsi="Calibri" w:cs="Calibri"/>
              </w:rPr>
              <w:t>Geomagnetically Induced Current</w:t>
            </w:r>
          </w:p>
        </w:tc>
      </w:tr>
      <w:tr w:rsidR="00A067F9" w:rsidRPr="00372C6B" w14:paraId="6CD70240" w14:textId="77777777" w:rsidTr="004A644F">
        <w:tc>
          <w:tcPr>
            <w:tcW w:w="3775" w:type="dxa"/>
          </w:tcPr>
          <w:p w14:paraId="76BA5710" w14:textId="1ABAB770" w:rsidR="00A067F9" w:rsidRPr="00372C6B" w:rsidRDefault="00A067F9" w:rsidP="00011CC6">
            <w:pPr>
              <w:pStyle w:val="ListParagraph"/>
              <w:ind w:left="0"/>
              <w:rPr>
                <w:rFonts w:ascii="Calibri" w:hAnsi="Calibri" w:cs="Calibri"/>
              </w:rPr>
            </w:pPr>
            <w:r w:rsidRPr="00372C6B">
              <w:rPr>
                <w:rFonts w:ascii="Calibri" w:hAnsi="Calibri" w:cs="Calibri"/>
              </w:rPr>
              <w:t>GMD</w:t>
            </w:r>
          </w:p>
        </w:tc>
        <w:tc>
          <w:tcPr>
            <w:tcW w:w="4855" w:type="dxa"/>
          </w:tcPr>
          <w:p w14:paraId="65AB0476" w14:textId="1D275437" w:rsidR="00A067F9" w:rsidRPr="00372C6B" w:rsidRDefault="00A067F9" w:rsidP="00011CC6">
            <w:pPr>
              <w:pStyle w:val="ListParagraph"/>
              <w:ind w:left="0"/>
              <w:rPr>
                <w:rFonts w:ascii="Calibri" w:hAnsi="Calibri" w:cs="Calibri"/>
              </w:rPr>
            </w:pPr>
            <w:r w:rsidRPr="00372C6B">
              <w:rPr>
                <w:rFonts w:ascii="Calibri" w:hAnsi="Calibri" w:cs="Calibri"/>
              </w:rPr>
              <w:t>Geomagnetic Disturbance</w:t>
            </w:r>
          </w:p>
        </w:tc>
      </w:tr>
      <w:tr w:rsidR="009C3B81" w:rsidRPr="00372C6B" w14:paraId="516DF99F" w14:textId="77777777" w:rsidTr="004A644F">
        <w:tc>
          <w:tcPr>
            <w:tcW w:w="3775" w:type="dxa"/>
          </w:tcPr>
          <w:p w14:paraId="578CB193" w14:textId="0D377B61" w:rsidR="009C3B81" w:rsidRPr="00372C6B" w:rsidRDefault="009C3B81" w:rsidP="00011CC6">
            <w:pPr>
              <w:pStyle w:val="ListParagraph"/>
              <w:ind w:left="0"/>
              <w:rPr>
                <w:rFonts w:ascii="Calibri" w:hAnsi="Calibri" w:cs="Calibri"/>
              </w:rPr>
            </w:pPr>
            <w:r w:rsidRPr="00372C6B">
              <w:rPr>
                <w:rFonts w:ascii="Calibri" w:hAnsi="Calibri" w:cs="Calibri"/>
              </w:rPr>
              <w:t>GO</w:t>
            </w:r>
          </w:p>
        </w:tc>
        <w:tc>
          <w:tcPr>
            <w:tcW w:w="4855" w:type="dxa"/>
          </w:tcPr>
          <w:p w14:paraId="4B853C7A" w14:textId="62B6293C" w:rsidR="009C3B81" w:rsidRPr="00372C6B" w:rsidRDefault="009C3B81" w:rsidP="00751D59">
            <w:pPr>
              <w:pStyle w:val="ListParagraph"/>
              <w:ind w:left="0"/>
              <w:rPr>
                <w:rFonts w:ascii="Calibri" w:hAnsi="Calibri" w:cs="Calibri"/>
              </w:rPr>
            </w:pPr>
            <w:r w:rsidRPr="00372C6B">
              <w:rPr>
                <w:rFonts w:ascii="Calibri" w:hAnsi="Calibri" w:cs="Calibri"/>
              </w:rPr>
              <w:t>Generator Owner</w:t>
            </w:r>
          </w:p>
        </w:tc>
      </w:tr>
      <w:tr w:rsidR="005473A6" w:rsidRPr="00372C6B" w14:paraId="057DAE25" w14:textId="351E7EF0" w:rsidTr="004A644F">
        <w:tc>
          <w:tcPr>
            <w:tcW w:w="3775" w:type="dxa"/>
          </w:tcPr>
          <w:p w14:paraId="501EAE93" w14:textId="396CC751" w:rsidR="005473A6" w:rsidRPr="00372C6B" w:rsidRDefault="005473A6" w:rsidP="00FF1BE8">
            <w:pPr>
              <w:pStyle w:val="ListParagraph"/>
              <w:ind w:left="0"/>
              <w:rPr>
                <w:rFonts w:ascii="Calibri" w:hAnsi="Calibri" w:cs="Calibri"/>
              </w:rPr>
            </w:pPr>
            <w:r w:rsidRPr="00372C6B">
              <w:rPr>
                <w:rFonts w:ascii="Calibri" w:hAnsi="Calibri" w:cs="Calibri"/>
              </w:rPr>
              <w:t>GPS</w:t>
            </w:r>
          </w:p>
        </w:tc>
        <w:tc>
          <w:tcPr>
            <w:tcW w:w="4855" w:type="dxa"/>
          </w:tcPr>
          <w:p w14:paraId="441C1C7D" w14:textId="70C1A783" w:rsidR="005473A6" w:rsidRPr="00372C6B" w:rsidRDefault="005473A6" w:rsidP="00FF1BE8">
            <w:pPr>
              <w:pStyle w:val="ListParagraph"/>
              <w:ind w:left="0"/>
              <w:rPr>
                <w:rFonts w:ascii="Calibri" w:hAnsi="Calibri" w:cs="Calibri"/>
              </w:rPr>
            </w:pPr>
            <w:r w:rsidRPr="00372C6B">
              <w:rPr>
                <w:rFonts w:ascii="Calibri" w:hAnsi="Calibri" w:cs="Calibri"/>
              </w:rPr>
              <w:t>Global Positioning System</w:t>
            </w:r>
          </w:p>
        </w:tc>
      </w:tr>
      <w:tr w:rsidR="00FF1BE8" w:rsidRPr="00372C6B" w14:paraId="15ECF69F" w14:textId="77777777" w:rsidTr="004A644F">
        <w:tc>
          <w:tcPr>
            <w:tcW w:w="3775" w:type="dxa"/>
          </w:tcPr>
          <w:p w14:paraId="0650D0B0" w14:textId="54BFA3DD" w:rsidR="00FF1BE8" w:rsidRPr="00372C6B" w:rsidRDefault="00FF1BE8" w:rsidP="00FF1BE8">
            <w:pPr>
              <w:pStyle w:val="ListParagraph"/>
              <w:ind w:left="0"/>
              <w:rPr>
                <w:rFonts w:ascii="Calibri" w:hAnsi="Calibri" w:cs="Calibri"/>
              </w:rPr>
            </w:pPr>
            <w:r w:rsidRPr="00372C6B">
              <w:rPr>
                <w:rFonts w:ascii="Calibri" w:hAnsi="Calibri" w:cs="Calibri"/>
              </w:rPr>
              <w:t>HSM</w:t>
            </w:r>
          </w:p>
        </w:tc>
        <w:tc>
          <w:tcPr>
            <w:tcW w:w="4855" w:type="dxa"/>
          </w:tcPr>
          <w:p w14:paraId="6562AF53" w14:textId="3901D765" w:rsidR="00FF1BE8" w:rsidRPr="00372C6B" w:rsidRDefault="00FF1BE8" w:rsidP="00FF1BE8">
            <w:pPr>
              <w:pStyle w:val="ListParagraph"/>
              <w:ind w:left="0"/>
              <w:rPr>
                <w:rFonts w:ascii="Calibri" w:hAnsi="Calibri" w:cs="Calibri"/>
              </w:rPr>
            </w:pPr>
            <w:r w:rsidRPr="00372C6B">
              <w:rPr>
                <w:rFonts w:ascii="Calibri" w:hAnsi="Calibri" w:cs="Calibri"/>
              </w:rPr>
              <w:t>High Speed Monitor</w:t>
            </w:r>
          </w:p>
        </w:tc>
      </w:tr>
      <w:tr w:rsidR="00FF1BE8" w:rsidRPr="00372C6B" w14:paraId="1C9A87C5" w14:textId="77777777" w:rsidTr="004A644F">
        <w:tc>
          <w:tcPr>
            <w:tcW w:w="3775" w:type="dxa"/>
          </w:tcPr>
          <w:p w14:paraId="24685CDF" w14:textId="0833F014" w:rsidR="00FF1BE8" w:rsidRPr="00372C6B" w:rsidRDefault="00FF1BE8" w:rsidP="00FF1BE8">
            <w:pPr>
              <w:pStyle w:val="ListParagraph"/>
              <w:ind w:left="0"/>
              <w:rPr>
                <w:rFonts w:ascii="Calibri" w:hAnsi="Calibri" w:cs="Calibri"/>
              </w:rPr>
            </w:pPr>
            <w:r w:rsidRPr="00372C6B">
              <w:rPr>
                <w:rFonts w:ascii="Calibri" w:hAnsi="Calibri" w:cs="Calibri"/>
              </w:rPr>
              <w:t>HVDC</w:t>
            </w:r>
          </w:p>
        </w:tc>
        <w:tc>
          <w:tcPr>
            <w:tcW w:w="4855" w:type="dxa"/>
          </w:tcPr>
          <w:p w14:paraId="52BFA144" w14:textId="10010408" w:rsidR="00FF1BE8" w:rsidRPr="00372C6B" w:rsidRDefault="00FF1BE8" w:rsidP="00FF1BE8">
            <w:pPr>
              <w:pStyle w:val="ListParagraph"/>
              <w:ind w:left="0"/>
              <w:rPr>
                <w:rFonts w:ascii="Calibri" w:hAnsi="Calibri" w:cs="Calibri"/>
              </w:rPr>
            </w:pPr>
            <w:r w:rsidRPr="00372C6B">
              <w:rPr>
                <w:rFonts w:ascii="Calibri" w:hAnsi="Calibri" w:cs="Calibri"/>
              </w:rPr>
              <w:t>High Voltage Direct Current</w:t>
            </w:r>
          </w:p>
        </w:tc>
      </w:tr>
      <w:tr w:rsidR="00FF1BE8" w:rsidRPr="00372C6B" w14:paraId="58E09A92" w14:textId="77777777" w:rsidTr="004A644F">
        <w:tc>
          <w:tcPr>
            <w:tcW w:w="3775" w:type="dxa"/>
          </w:tcPr>
          <w:p w14:paraId="1ABB149C" w14:textId="0BBD79BD" w:rsidR="00FF1BE8" w:rsidRPr="00372C6B" w:rsidRDefault="00FF1BE8" w:rsidP="00FF1BE8">
            <w:pPr>
              <w:pStyle w:val="ListParagraph"/>
              <w:ind w:left="0"/>
              <w:rPr>
                <w:rFonts w:ascii="Calibri" w:hAnsi="Calibri" w:cs="Calibri"/>
              </w:rPr>
            </w:pPr>
            <w:r w:rsidRPr="00372C6B">
              <w:rPr>
                <w:rFonts w:ascii="Calibri" w:hAnsi="Calibri" w:cs="Calibri"/>
              </w:rPr>
              <w:t>IBR</w:t>
            </w:r>
          </w:p>
        </w:tc>
        <w:tc>
          <w:tcPr>
            <w:tcW w:w="4855" w:type="dxa"/>
          </w:tcPr>
          <w:p w14:paraId="161258AD" w14:textId="7C830E99" w:rsidR="00FF1BE8" w:rsidRPr="00372C6B" w:rsidRDefault="00FF1BE8" w:rsidP="00FF1BE8">
            <w:pPr>
              <w:pStyle w:val="ListParagraph"/>
              <w:ind w:left="0"/>
              <w:rPr>
                <w:rFonts w:ascii="Calibri" w:hAnsi="Calibri" w:cs="Calibri"/>
              </w:rPr>
            </w:pPr>
            <w:r w:rsidRPr="00372C6B">
              <w:rPr>
                <w:rFonts w:ascii="Calibri" w:hAnsi="Calibri" w:cs="Calibri"/>
              </w:rPr>
              <w:t>Inverter-based Resource</w:t>
            </w:r>
          </w:p>
        </w:tc>
      </w:tr>
      <w:tr w:rsidR="00FF1BE8" w:rsidRPr="00372C6B" w14:paraId="68EEF5E9" w14:textId="77777777" w:rsidTr="004A644F">
        <w:tc>
          <w:tcPr>
            <w:tcW w:w="3775" w:type="dxa"/>
          </w:tcPr>
          <w:p w14:paraId="7F8EED45" w14:textId="3AC73BAF" w:rsidR="00FF1BE8" w:rsidRPr="00372C6B" w:rsidRDefault="00FF1BE8" w:rsidP="00FF1BE8">
            <w:pPr>
              <w:pStyle w:val="ListParagraph"/>
              <w:ind w:left="0"/>
              <w:rPr>
                <w:rFonts w:ascii="Calibri" w:hAnsi="Calibri" w:cs="Calibri"/>
              </w:rPr>
            </w:pPr>
            <w:r w:rsidRPr="00372C6B">
              <w:rPr>
                <w:rFonts w:ascii="Calibri" w:hAnsi="Calibri" w:cs="Calibri"/>
              </w:rPr>
              <w:t>IEEE</w:t>
            </w:r>
          </w:p>
        </w:tc>
        <w:tc>
          <w:tcPr>
            <w:tcW w:w="4855" w:type="dxa"/>
          </w:tcPr>
          <w:p w14:paraId="293171FE" w14:textId="6B88B3FE" w:rsidR="00FF1BE8" w:rsidRPr="00372C6B" w:rsidRDefault="00FF1BE8" w:rsidP="00FF1BE8">
            <w:pPr>
              <w:pStyle w:val="ListParagraph"/>
              <w:ind w:left="0"/>
              <w:rPr>
                <w:rFonts w:ascii="Calibri" w:hAnsi="Calibri" w:cs="Calibri"/>
              </w:rPr>
            </w:pPr>
            <w:r w:rsidRPr="00372C6B">
              <w:rPr>
                <w:rFonts w:ascii="Calibri" w:hAnsi="Calibri" w:cs="Calibri"/>
              </w:rPr>
              <w:t>Institute of Electrical and Electronics Engineers</w:t>
            </w:r>
          </w:p>
        </w:tc>
      </w:tr>
      <w:tr w:rsidR="00FF1BE8" w:rsidRPr="00372C6B" w14:paraId="68027C56" w14:textId="77777777" w:rsidTr="004A644F">
        <w:tc>
          <w:tcPr>
            <w:tcW w:w="3775" w:type="dxa"/>
          </w:tcPr>
          <w:p w14:paraId="738138FD" w14:textId="1636B49E" w:rsidR="00FF1BE8" w:rsidRPr="00372C6B" w:rsidRDefault="00FF1BE8" w:rsidP="00FF1BE8">
            <w:pPr>
              <w:pStyle w:val="ListParagraph"/>
              <w:ind w:left="0"/>
              <w:rPr>
                <w:rFonts w:ascii="Calibri" w:hAnsi="Calibri" w:cs="Calibri"/>
              </w:rPr>
            </w:pPr>
            <w:r w:rsidRPr="00372C6B">
              <w:rPr>
                <w:rFonts w:ascii="Calibri" w:hAnsi="Calibri" w:cs="Calibri"/>
              </w:rPr>
              <w:t>IEEE PES</w:t>
            </w:r>
          </w:p>
        </w:tc>
        <w:tc>
          <w:tcPr>
            <w:tcW w:w="4855" w:type="dxa"/>
          </w:tcPr>
          <w:p w14:paraId="3F74342D" w14:textId="1081CEC3" w:rsidR="00FF1BE8" w:rsidRPr="00372C6B" w:rsidRDefault="00FF1BE8" w:rsidP="00FF1BE8">
            <w:pPr>
              <w:pStyle w:val="ListParagraph"/>
              <w:ind w:left="0"/>
              <w:rPr>
                <w:rFonts w:ascii="Calibri" w:hAnsi="Calibri" w:cs="Calibri"/>
              </w:rPr>
            </w:pPr>
            <w:r w:rsidRPr="00372C6B">
              <w:rPr>
                <w:rFonts w:ascii="Calibri" w:hAnsi="Calibri" w:cs="Calibri"/>
              </w:rPr>
              <w:t>IEEE Power &amp; Energy Society</w:t>
            </w:r>
          </w:p>
        </w:tc>
      </w:tr>
      <w:tr w:rsidR="00FF1BE8" w:rsidRPr="00372C6B" w14:paraId="1269886B" w14:textId="77777777" w:rsidTr="004A644F">
        <w:tc>
          <w:tcPr>
            <w:tcW w:w="3775" w:type="dxa"/>
          </w:tcPr>
          <w:p w14:paraId="03A743F1" w14:textId="4B9B43D8" w:rsidR="00FF1BE8" w:rsidRPr="00372C6B" w:rsidRDefault="00FF1BE8" w:rsidP="00FF1BE8">
            <w:pPr>
              <w:pStyle w:val="ListParagraph"/>
              <w:ind w:left="0"/>
              <w:rPr>
                <w:rFonts w:ascii="Calibri" w:hAnsi="Calibri" w:cs="Calibri"/>
              </w:rPr>
            </w:pPr>
            <w:r w:rsidRPr="00372C6B">
              <w:rPr>
                <w:rFonts w:ascii="Calibri" w:hAnsi="Calibri" w:cs="Calibri"/>
              </w:rPr>
              <w:t>IROL</w:t>
            </w:r>
          </w:p>
        </w:tc>
        <w:tc>
          <w:tcPr>
            <w:tcW w:w="4855" w:type="dxa"/>
          </w:tcPr>
          <w:p w14:paraId="42E626C1" w14:textId="270E1DDF" w:rsidR="00FF1BE8" w:rsidRPr="00372C6B" w:rsidRDefault="00FF1BE8" w:rsidP="00FF1BE8">
            <w:pPr>
              <w:pStyle w:val="ListParagraph"/>
              <w:ind w:left="0"/>
              <w:rPr>
                <w:rFonts w:ascii="Calibri" w:hAnsi="Calibri" w:cs="Calibri"/>
              </w:rPr>
            </w:pPr>
            <w:r w:rsidRPr="00372C6B">
              <w:rPr>
                <w:rFonts w:ascii="Calibri" w:hAnsi="Calibri" w:cs="Calibri"/>
              </w:rPr>
              <w:t>Interconnection Reliability Operating Limit</w:t>
            </w:r>
          </w:p>
        </w:tc>
      </w:tr>
      <w:tr w:rsidR="00FF1BE8" w:rsidRPr="00372C6B" w14:paraId="5CEB734E" w14:textId="77777777" w:rsidTr="004A644F">
        <w:tc>
          <w:tcPr>
            <w:tcW w:w="3775" w:type="dxa"/>
          </w:tcPr>
          <w:p w14:paraId="3B96B5F2" w14:textId="13441906" w:rsidR="00FF1BE8" w:rsidRPr="00372C6B" w:rsidRDefault="00FF1BE8" w:rsidP="00FF1BE8">
            <w:pPr>
              <w:pStyle w:val="ListParagraph"/>
              <w:ind w:left="0"/>
              <w:rPr>
                <w:rFonts w:ascii="Calibri" w:hAnsi="Calibri" w:cs="Calibri"/>
              </w:rPr>
            </w:pPr>
            <w:r w:rsidRPr="00372C6B">
              <w:rPr>
                <w:rFonts w:ascii="Calibri" w:hAnsi="Calibri" w:cs="Calibri"/>
              </w:rPr>
              <w:t>Lookahead Analysis</w:t>
            </w:r>
          </w:p>
        </w:tc>
        <w:tc>
          <w:tcPr>
            <w:tcW w:w="4855" w:type="dxa"/>
          </w:tcPr>
          <w:p w14:paraId="1FCED5C4" w14:textId="219F9ACF" w:rsidR="00FF1BE8" w:rsidRPr="00372C6B" w:rsidRDefault="00FF1BE8" w:rsidP="00FF1BE8">
            <w:pPr>
              <w:pStyle w:val="ListParagraph"/>
              <w:ind w:left="0"/>
              <w:rPr>
                <w:rFonts w:ascii="Calibri" w:hAnsi="Calibri" w:cs="Calibri"/>
              </w:rPr>
            </w:pPr>
            <w:r w:rsidRPr="00372C6B">
              <w:rPr>
                <w:rFonts w:ascii="Calibri" w:hAnsi="Calibri" w:cs="Calibri"/>
              </w:rPr>
              <w:t>Planning technique that identifies upcoming tasks, constraints, and resource needs to proactively resolve issues and ensure smooth project execution.</w:t>
            </w:r>
          </w:p>
        </w:tc>
      </w:tr>
      <w:tr w:rsidR="00FF1BE8" w:rsidRPr="00372C6B" w14:paraId="101DF4CF" w14:textId="77777777" w:rsidTr="004A644F">
        <w:tc>
          <w:tcPr>
            <w:tcW w:w="3775" w:type="dxa"/>
          </w:tcPr>
          <w:p w14:paraId="015784CD" w14:textId="2F2DE4F8" w:rsidR="00FF1BE8" w:rsidRPr="00372C6B" w:rsidRDefault="00FF1BE8" w:rsidP="00FF1BE8">
            <w:pPr>
              <w:pStyle w:val="ListParagraph"/>
              <w:ind w:left="0"/>
              <w:rPr>
                <w:rFonts w:ascii="Calibri" w:hAnsi="Calibri" w:cs="Calibri"/>
              </w:rPr>
            </w:pPr>
            <w:r w:rsidRPr="00372C6B">
              <w:rPr>
                <w:rFonts w:ascii="Calibri" w:hAnsi="Calibri" w:cs="Calibri"/>
              </w:rPr>
              <w:t>MW</w:t>
            </w:r>
          </w:p>
        </w:tc>
        <w:tc>
          <w:tcPr>
            <w:tcW w:w="4855" w:type="dxa"/>
          </w:tcPr>
          <w:p w14:paraId="158E534A" w14:textId="368AB668" w:rsidR="00FF1BE8" w:rsidRPr="00372C6B" w:rsidRDefault="00FF1BE8" w:rsidP="00FF1BE8">
            <w:pPr>
              <w:pStyle w:val="ListParagraph"/>
              <w:ind w:left="0"/>
              <w:rPr>
                <w:rFonts w:ascii="Calibri" w:hAnsi="Calibri" w:cs="Calibri"/>
              </w:rPr>
            </w:pPr>
            <w:r w:rsidRPr="00372C6B">
              <w:rPr>
                <w:rFonts w:ascii="Calibri" w:hAnsi="Calibri" w:cs="Calibri"/>
              </w:rPr>
              <w:t>Megawatt</w:t>
            </w:r>
          </w:p>
        </w:tc>
      </w:tr>
      <w:tr w:rsidR="00FF1BE8" w:rsidRPr="00372C6B" w14:paraId="3F7CCBA4" w14:textId="77777777" w:rsidTr="004A644F">
        <w:tc>
          <w:tcPr>
            <w:tcW w:w="3775" w:type="dxa"/>
          </w:tcPr>
          <w:p w14:paraId="48499B07" w14:textId="7D001208" w:rsidR="00FF1BE8" w:rsidRPr="00372C6B" w:rsidRDefault="00FF1BE8" w:rsidP="00FF1BE8">
            <w:pPr>
              <w:pStyle w:val="ListParagraph"/>
              <w:ind w:left="0"/>
              <w:rPr>
                <w:rFonts w:ascii="Calibri" w:hAnsi="Calibri" w:cs="Calibri"/>
              </w:rPr>
            </w:pPr>
            <w:r w:rsidRPr="00372C6B">
              <w:rPr>
                <w:rFonts w:ascii="Calibri" w:hAnsi="Calibri" w:cs="Calibri"/>
              </w:rPr>
              <w:t>MVA</w:t>
            </w:r>
          </w:p>
        </w:tc>
        <w:tc>
          <w:tcPr>
            <w:tcW w:w="4855" w:type="dxa"/>
          </w:tcPr>
          <w:p w14:paraId="4ACD427E" w14:textId="18C6C2FF" w:rsidR="00FF1BE8" w:rsidRPr="00372C6B" w:rsidRDefault="00FF1BE8" w:rsidP="00FF1BE8">
            <w:pPr>
              <w:pStyle w:val="ListParagraph"/>
              <w:ind w:left="0"/>
              <w:rPr>
                <w:rFonts w:ascii="Calibri" w:hAnsi="Calibri" w:cs="Calibri"/>
              </w:rPr>
            </w:pPr>
            <w:r w:rsidRPr="00372C6B">
              <w:rPr>
                <w:rFonts w:ascii="Calibri" w:hAnsi="Calibri" w:cs="Calibri"/>
              </w:rPr>
              <w:t>Megavolt-ampere</w:t>
            </w:r>
          </w:p>
        </w:tc>
      </w:tr>
      <w:tr w:rsidR="00FF1BE8" w:rsidRPr="00372C6B" w14:paraId="0354117D" w14:textId="77777777" w:rsidTr="004A644F">
        <w:tc>
          <w:tcPr>
            <w:tcW w:w="3775" w:type="dxa"/>
          </w:tcPr>
          <w:p w14:paraId="3932C7AA" w14:textId="11BF71CE" w:rsidR="00FF1BE8" w:rsidRPr="00372C6B" w:rsidRDefault="00FF1BE8" w:rsidP="00FF1BE8">
            <w:pPr>
              <w:pStyle w:val="ListParagraph"/>
              <w:ind w:left="0"/>
              <w:rPr>
                <w:rFonts w:ascii="Calibri" w:hAnsi="Calibri" w:cs="Calibri"/>
              </w:rPr>
            </w:pPr>
            <w:r w:rsidRPr="00372C6B">
              <w:rPr>
                <w:rFonts w:ascii="Calibri" w:hAnsi="Calibri" w:cs="Calibri"/>
              </w:rPr>
              <w:t>NASPI</w:t>
            </w:r>
          </w:p>
        </w:tc>
        <w:tc>
          <w:tcPr>
            <w:tcW w:w="4855" w:type="dxa"/>
          </w:tcPr>
          <w:p w14:paraId="6C2284F8" w14:textId="1C0F03E3" w:rsidR="00FF1BE8" w:rsidRPr="00372C6B" w:rsidRDefault="00FF1BE8" w:rsidP="00FF1BE8">
            <w:pPr>
              <w:pStyle w:val="ListParagraph"/>
              <w:ind w:left="0"/>
              <w:rPr>
                <w:rFonts w:ascii="Calibri" w:hAnsi="Calibri" w:cs="Calibri"/>
              </w:rPr>
            </w:pPr>
            <w:r w:rsidRPr="00372C6B">
              <w:rPr>
                <w:rFonts w:ascii="Calibri" w:hAnsi="Calibri" w:cs="Calibri"/>
              </w:rPr>
              <w:t>Novel Applications for Synchronized Power Instrumentation</w:t>
            </w:r>
          </w:p>
        </w:tc>
      </w:tr>
      <w:tr w:rsidR="00FF1BE8" w:rsidRPr="00372C6B" w14:paraId="7D7B68E4" w14:textId="77777777" w:rsidTr="004A644F">
        <w:tc>
          <w:tcPr>
            <w:tcW w:w="3775" w:type="dxa"/>
          </w:tcPr>
          <w:p w14:paraId="2DED6AE9" w14:textId="30D605CF" w:rsidR="00FF1BE8" w:rsidRPr="00372C6B" w:rsidRDefault="00FF1BE8" w:rsidP="00FF1BE8">
            <w:pPr>
              <w:pStyle w:val="ListParagraph"/>
              <w:ind w:left="0"/>
              <w:rPr>
                <w:rFonts w:ascii="Calibri" w:hAnsi="Calibri" w:cs="Calibri"/>
              </w:rPr>
            </w:pPr>
            <w:r w:rsidRPr="00372C6B">
              <w:rPr>
                <w:rFonts w:ascii="Calibri" w:hAnsi="Calibri" w:cs="Calibri"/>
              </w:rPr>
              <w:t>NERC</w:t>
            </w:r>
          </w:p>
        </w:tc>
        <w:tc>
          <w:tcPr>
            <w:tcW w:w="4855" w:type="dxa"/>
          </w:tcPr>
          <w:p w14:paraId="082B3ACC" w14:textId="4465BC46" w:rsidR="00FF1BE8" w:rsidRPr="00372C6B" w:rsidRDefault="00FF1BE8" w:rsidP="00FF1BE8">
            <w:pPr>
              <w:pStyle w:val="ListParagraph"/>
              <w:ind w:left="0"/>
              <w:rPr>
                <w:rFonts w:ascii="Calibri" w:hAnsi="Calibri" w:cs="Calibri"/>
              </w:rPr>
            </w:pPr>
            <w:r w:rsidRPr="00372C6B">
              <w:rPr>
                <w:rFonts w:ascii="Calibri" w:hAnsi="Calibri" w:cs="Calibri"/>
              </w:rPr>
              <w:t>North American Electric Reliability Corporation</w:t>
            </w:r>
          </w:p>
        </w:tc>
      </w:tr>
      <w:tr w:rsidR="00FF1BE8" w:rsidRPr="00372C6B" w14:paraId="2DC8833A" w14:textId="77777777" w:rsidTr="004A644F">
        <w:tc>
          <w:tcPr>
            <w:tcW w:w="3775" w:type="dxa"/>
          </w:tcPr>
          <w:p w14:paraId="4F8E9199" w14:textId="1B2B2E2B" w:rsidR="00FF1BE8" w:rsidRPr="00372C6B" w:rsidRDefault="00FF1BE8" w:rsidP="00FF1BE8">
            <w:pPr>
              <w:pStyle w:val="ListParagraph"/>
              <w:ind w:left="0"/>
              <w:rPr>
                <w:rFonts w:ascii="Calibri" w:hAnsi="Calibri" w:cs="Calibri"/>
              </w:rPr>
            </w:pPr>
            <w:r w:rsidRPr="00372C6B">
              <w:rPr>
                <w:rFonts w:ascii="Calibri" w:hAnsi="Calibri" w:cs="Calibri"/>
              </w:rPr>
              <w:t>NESO</w:t>
            </w:r>
          </w:p>
        </w:tc>
        <w:tc>
          <w:tcPr>
            <w:tcW w:w="4855" w:type="dxa"/>
          </w:tcPr>
          <w:p w14:paraId="2B747566" w14:textId="20E3A5B5" w:rsidR="00FF1BE8" w:rsidRPr="00372C6B" w:rsidRDefault="00FF1BE8" w:rsidP="00FF1BE8">
            <w:pPr>
              <w:pStyle w:val="ListParagraph"/>
              <w:ind w:left="0"/>
              <w:rPr>
                <w:rFonts w:ascii="Calibri" w:hAnsi="Calibri" w:cs="Calibri"/>
              </w:rPr>
            </w:pPr>
            <w:r w:rsidRPr="00372C6B">
              <w:rPr>
                <w:rFonts w:ascii="Calibri" w:hAnsi="Calibri" w:cs="Calibri"/>
              </w:rPr>
              <w:t>National Energy System Operator</w:t>
            </w:r>
          </w:p>
        </w:tc>
      </w:tr>
      <w:tr w:rsidR="00FF1BE8" w:rsidRPr="00372C6B" w14:paraId="269C0561" w14:textId="77777777" w:rsidTr="004A644F">
        <w:tc>
          <w:tcPr>
            <w:tcW w:w="3775" w:type="dxa"/>
          </w:tcPr>
          <w:p w14:paraId="6E79C9A4" w14:textId="24775AED" w:rsidR="00FF1BE8" w:rsidRPr="00372C6B" w:rsidRDefault="00FF1BE8" w:rsidP="00FF1BE8">
            <w:pPr>
              <w:pStyle w:val="ListParagraph"/>
              <w:ind w:left="0"/>
              <w:rPr>
                <w:rFonts w:ascii="Calibri" w:hAnsi="Calibri" w:cs="Calibri"/>
              </w:rPr>
            </w:pPr>
            <w:r w:rsidRPr="00372C6B">
              <w:rPr>
                <w:rFonts w:ascii="Calibri" w:hAnsi="Calibri" w:cs="Calibri"/>
              </w:rPr>
              <w:t>PEID</w:t>
            </w:r>
          </w:p>
        </w:tc>
        <w:tc>
          <w:tcPr>
            <w:tcW w:w="4855" w:type="dxa"/>
          </w:tcPr>
          <w:p w14:paraId="51398479" w14:textId="72987FB5" w:rsidR="00FF1BE8" w:rsidRPr="00372C6B" w:rsidRDefault="00FF1BE8" w:rsidP="00FF1BE8">
            <w:pPr>
              <w:pStyle w:val="ListParagraph"/>
              <w:ind w:left="0"/>
              <w:rPr>
                <w:rFonts w:ascii="Calibri" w:hAnsi="Calibri" w:cs="Calibri"/>
              </w:rPr>
            </w:pPr>
            <w:r w:rsidRPr="00372C6B">
              <w:rPr>
                <w:rFonts w:ascii="Calibri" w:hAnsi="Calibri" w:cs="Calibri"/>
              </w:rPr>
              <w:t>Power Electronics Interface Devices</w:t>
            </w:r>
          </w:p>
        </w:tc>
      </w:tr>
      <w:tr w:rsidR="00FF1BE8" w:rsidRPr="00372C6B" w14:paraId="45291BEB" w14:textId="77777777" w:rsidTr="004A644F">
        <w:tc>
          <w:tcPr>
            <w:tcW w:w="3775" w:type="dxa"/>
          </w:tcPr>
          <w:p w14:paraId="5D9E7D1D" w14:textId="4DA83437" w:rsidR="00FF1BE8" w:rsidRPr="00372C6B" w:rsidRDefault="00FF1BE8" w:rsidP="00FF1BE8">
            <w:pPr>
              <w:pStyle w:val="ListParagraph"/>
              <w:ind w:left="0"/>
              <w:rPr>
                <w:rFonts w:ascii="Calibri" w:hAnsi="Calibri" w:cs="Calibri"/>
              </w:rPr>
            </w:pPr>
            <w:r w:rsidRPr="00372C6B">
              <w:rPr>
                <w:rFonts w:ascii="Calibri" w:hAnsi="Calibri" w:cs="Calibri"/>
              </w:rPr>
              <w:t>PJM</w:t>
            </w:r>
          </w:p>
        </w:tc>
        <w:tc>
          <w:tcPr>
            <w:tcW w:w="4855" w:type="dxa"/>
          </w:tcPr>
          <w:p w14:paraId="24329FCC" w14:textId="6677C26F" w:rsidR="00FF1BE8" w:rsidRPr="00372C6B" w:rsidRDefault="00FF1BE8" w:rsidP="00FF1BE8">
            <w:pPr>
              <w:pStyle w:val="ListParagraph"/>
              <w:ind w:left="0"/>
              <w:rPr>
                <w:rFonts w:ascii="Calibri" w:hAnsi="Calibri" w:cs="Calibri"/>
              </w:rPr>
            </w:pPr>
            <w:r w:rsidRPr="00372C6B">
              <w:rPr>
                <w:rFonts w:ascii="Calibri" w:hAnsi="Calibri" w:cs="Calibri"/>
              </w:rPr>
              <w:t>PJM Interconnection, LLC</w:t>
            </w:r>
          </w:p>
        </w:tc>
      </w:tr>
      <w:tr w:rsidR="00FF1BE8" w:rsidRPr="00372C6B" w14:paraId="0912DCFD" w14:textId="77777777" w:rsidTr="004A644F">
        <w:tc>
          <w:tcPr>
            <w:tcW w:w="3775" w:type="dxa"/>
          </w:tcPr>
          <w:p w14:paraId="4FB34C87" w14:textId="10A2561C" w:rsidR="00FF1BE8" w:rsidRPr="00372C6B" w:rsidRDefault="00FF1BE8" w:rsidP="00FF1BE8">
            <w:pPr>
              <w:pStyle w:val="ListParagraph"/>
              <w:ind w:left="0"/>
              <w:rPr>
                <w:rFonts w:ascii="Calibri" w:hAnsi="Calibri" w:cs="Calibri"/>
              </w:rPr>
            </w:pPr>
            <w:r w:rsidRPr="00372C6B">
              <w:rPr>
                <w:rFonts w:ascii="Calibri" w:hAnsi="Calibri" w:cs="Calibri"/>
              </w:rPr>
              <w:t>PMU</w:t>
            </w:r>
          </w:p>
        </w:tc>
        <w:tc>
          <w:tcPr>
            <w:tcW w:w="4855" w:type="dxa"/>
          </w:tcPr>
          <w:p w14:paraId="2C8BC50A" w14:textId="06D50E2E" w:rsidR="00FF1BE8" w:rsidRPr="00372C6B" w:rsidRDefault="00FF1BE8" w:rsidP="00FF1BE8">
            <w:pPr>
              <w:pStyle w:val="ListParagraph"/>
              <w:ind w:left="0"/>
              <w:rPr>
                <w:rFonts w:ascii="Calibri" w:hAnsi="Calibri" w:cs="Calibri"/>
              </w:rPr>
            </w:pPr>
            <w:r w:rsidRPr="00372C6B">
              <w:rPr>
                <w:rFonts w:ascii="Calibri" w:hAnsi="Calibri" w:cs="Calibri"/>
              </w:rPr>
              <w:t>Phasor Measurement Unit</w:t>
            </w:r>
          </w:p>
        </w:tc>
      </w:tr>
      <w:tr w:rsidR="00FF1BE8" w:rsidRPr="00372C6B" w14:paraId="48CC3C90" w14:textId="77777777" w:rsidTr="004A644F">
        <w:tc>
          <w:tcPr>
            <w:tcW w:w="3775" w:type="dxa"/>
          </w:tcPr>
          <w:p w14:paraId="1375E97C" w14:textId="0E65243B" w:rsidR="00FF1BE8" w:rsidRPr="00372C6B" w:rsidRDefault="00FF1BE8" w:rsidP="00FF1BE8">
            <w:pPr>
              <w:pStyle w:val="ListParagraph"/>
              <w:ind w:left="0"/>
              <w:rPr>
                <w:rFonts w:ascii="Calibri" w:hAnsi="Calibri" w:cs="Calibri"/>
              </w:rPr>
            </w:pPr>
            <w:r w:rsidRPr="00372C6B">
              <w:rPr>
                <w:rFonts w:ascii="Calibri" w:hAnsi="Calibri" w:cs="Calibri"/>
              </w:rPr>
              <w:t>RAS</w:t>
            </w:r>
          </w:p>
        </w:tc>
        <w:tc>
          <w:tcPr>
            <w:tcW w:w="4855" w:type="dxa"/>
          </w:tcPr>
          <w:p w14:paraId="2D8B01AE" w14:textId="3E27FB0B" w:rsidR="00FF1BE8" w:rsidRPr="00372C6B" w:rsidRDefault="00FF1BE8" w:rsidP="00FF1BE8">
            <w:pPr>
              <w:pStyle w:val="ListParagraph"/>
              <w:ind w:left="0"/>
              <w:rPr>
                <w:rFonts w:ascii="Calibri" w:hAnsi="Calibri" w:cs="Calibri"/>
              </w:rPr>
            </w:pPr>
            <w:r w:rsidRPr="00372C6B">
              <w:rPr>
                <w:rFonts w:ascii="Calibri" w:hAnsi="Calibri" w:cs="Calibri"/>
              </w:rPr>
              <w:t>Remedial Action Scheme</w:t>
            </w:r>
          </w:p>
        </w:tc>
      </w:tr>
      <w:tr w:rsidR="00FF1BE8" w:rsidRPr="00372C6B" w14:paraId="3024DEA7" w14:textId="77777777" w:rsidTr="004A644F">
        <w:tc>
          <w:tcPr>
            <w:tcW w:w="3775" w:type="dxa"/>
          </w:tcPr>
          <w:p w14:paraId="541DE36A" w14:textId="4FF5B526" w:rsidR="00FF1BE8" w:rsidRPr="00372C6B" w:rsidRDefault="00FF1BE8" w:rsidP="00FF1BE8">
            <w:pPr>
              <w:pStyle w:val="ListParagraph"/>
              <w:ind w:left="0"/>
              <w:rPr>
                <w:rFonts w:ascii="Calibri" w:hAnsi="Calibri" w:cs="Calibri"/>
              </w:rPr>
            </w:pPr>
            <w:r w:rsidRPr="00372C6B">
              <w:rPr>
                <w:rFonts w:ascii="Calibri" w:hAnsi="Calibri" w:cs="Calibri"/>
              </w:rPr>
              <w:t>RC</w:t>
            </w:r>
          </w:p>
        </w:tc>
        <w:tc>
          <w:tcPr>
            <w:tcW w:w="4855" w:type="dxa"/>
          </w:tcPr>
          <w:p w14:paraId="19AA2A48" w14:textId="7425D138" w:rsidR="00FF1BE8" w:rsidRPr="00372C6B" w:rsidRDefault="00FF1BE8" w:rsidP="00FF1BE8">
            <w:pPr>
              <w:pStyle w:val="ListParagraph"/>
              <w:ind w:left="0"/>
              <w:rPr>
                <w:rFonts w:ascii="Calibri" w:hAnsi="Calibri" w:cs="Calibri"/>
              </w:rPr>
            </w:pPr>
            <w:r w:rsidRPr="00372C6B">
              <w:rPr>
                <w:rFonts w:ascii="Calibri" w:hAnsi="Calibri" w:cs="Calibri"/>
              </w:rPr>
              <w:t>Reliability Coordinator</w:t>
            </w:r>
          </w:p>
        </w:tc>
      </w:tr>
      <w:tr w:rsidR="00FF1BE8" w:rsidRPr="00372C6B" w14:paraId="5B573E77" w14:textId="77777777" w:rsidTr="004A644F">
        <w:tc>
          <w:tcPr>
            <w:tcW w:w="3775" w:type="dxa"/>
          </w:tcPr>
          <w:p w14:paraId="3299DF7D" w14:textId="4731EABF" w:rsidR="00FF1BE8" w:rsidRPr="00372C6B" w:rsidRDefault="00FF1BE8" w:rsidP="00FF1BE8">
            <w:pPr>
              <w:pStyle w:val="ListParagraph"/>
              <w:ind w:left="0"/>
              <w:rPr>
                <w:rFonts w:ascii="Calibri" w:hAnsi="Calibri" w:cs="Calibri"/>
              </w:rPr>
            </w:pPr>
            <w:r w:rsidRPr="00372C6B">
              <w:rPr>
                <w:rFonts w:ascii="Calibri" w:hAnsi="Calibri" w:cs="Calibri"/>
              </w:rPr>
              <w:t>RMS</w:t>
            </w:r>
          </w:p>
        </w:tc>
        <w:tc>
          <w:tcPr>
            <w:tcW w:w="4855" w:type="dxa"/>
          </w:tcPr>
          <w:p w14:paraId="541F99AC" w14:textId="1C978B6A" w:rsidR="00FF1BE8" w:rsidRPr="00372C6B" w:rsidRDefault="00FF1BE8" w:rsidP="00FF1BE8">
            <w:pPr>
              <w:pStyle w:val="ListParagraph"/>
              <w:ind w:left="0"/>
              <w:rPr>
                <w:rFonts w:ascii="Calibri" w:hAnsi="Calibri" w:cs="Calibri"/>
              </w:rPr>
            </w:pPr>
            <w:r w:rsidRPr="00372C6B">
              <w:rPr>
                <w:rFonts w:ascii="Calibri" w:hAnsi="Calibri" w:cs="Calibri"/>
              </w:rPr>
              <w:t>Root Mean Square</w:t>
            </w:r>
          </w:p>
        </w:tc>
      </w:tr>
      <w:tr w:rsidR="00FF1BE8" w:rsidRPr="00372C6B" w14:paraId="11D0CFCB" w14:textId="77777777" w:rsidTr="004A644F">
        <w:tc>
          <w:tcPr>
            <w:tcW w:w="3775" w:type="dxa"/>
          </w:tcPr>
          <w:p w14:paraId="2E591F29" w14:textId="52F70658" w:rsidR="00FF1BE8" w:rsidRPr="00372C6B" w:rsidRDefault="00FF1BE8" w:rsidP="00FF1BE8">
            <w:pPr>
              <w:pStyle w:val="ListParagraph"/>
              <w:ind w:left="0"/>
              <w:rPr>
                <w:rFonts w:ascii="Calibri" w:hAnsi="Calibri" w:cs="Calibri"/>
              </w:rPr>
            </w:pPr>
            <w:r w:rsidRPr="00372C6B">
              <w:rPr>
                <w:rFonts w:ascii="Calibri" w:hAnsi="Calibri" w:cs="Calibri"/>
              </w:rPr>
              <w:t>RTM</w:t>
            </w:r>
          </w:p>
        </w:tc>
        <w:tc>
          <w:tcPr>
            <w:tcW w:w="4855" w:type="dxa"/>
          </w:tcPr>
          <w:p w14:paraId="2C0D35AC" w14:textId="0BA1F988" w:rsidR="00FF1BE8" w:rsidRPr="00372C6B" w:rsidRDefault="00FF1BE8" w:rsidP="00FF1BE8">
            <w:pPr>
              <w:pStyle w:val="ListParagraph"/>
              <w:ind w:left="0"/>
              <w:rPr>
                <w:rFonts w:ascii="Calibri" w:hAnsi="Calibri" w:cs="Calibri"/>
              </w:rPr>
            </w:pPr>
            <w:r w:rsidRPr="00372C6B">
              <w:rPr>
                <w:rFonts w:ascii="Calibri" w:hAnsi="Calibri" w:cs="Calibri"/>
              </w:rPr>
              <w:t>Real-time Monitoring</w:t>
            </w:r>
          </w:p>
        </w:tc>
      </w:tr>
      <w:tr w:rsidR="00FF1BE8" w:rsidRPr="00372C6B" w14:paraId="5E7D3C90" w14:textId="77777777" w:rsidTr="004A644F">
        <w:tc>
          <w:tcPr>
            <w:tcW w:w="3775" w:type="dxa"/>
          </w:tcPr>
          <w:p w14:paraId="4B48D242" w14:textId="42F5CF20" w:rsidR="00FF1BE8" w:rsidRPr="00372C6B" w:rsidRDefault="00FF1BE8" w:rsidP="00FF1BE8">
            <w:pPr>
              <w:pStyle w:val="ListParagraph"/>
              <w:ind w:left="0"/>
              <w:rPr>
                <w:rFonts w:ascii="Calibri" w:hAnsi="Calibri" w:cs="Calibri"/>
              </w:rPr>
            </w:pPr>
            <w:r w:rsidRPr="00372C6B">
              <w:rPr>
                <w:rFonts w:ascii="Calibri" w:hAnsi="Calibri" w:cs="Calibri"/>
              </w:rPr>
              <w:t>RTA</w:t>
            </w:r>
          </w:p>
        </w:tc>
        <w:tc>
          <w:tcPr>
            <w:tcW w:w="4855" w:type="dxa"/>
          </w:tcPr>
          <w:p w14:paraId="43B6FFB9" w14:textId="732EA349" w:rsidR="00FF1BE8" w:rsidRPr="00372C6B" w:rsidRDefault="00FF1BE8" w:rsidP="00FF1BE8">
            <w:pPr>
              <w:pStyle w:val="ListParagraph"/>
              <w:ind w:left="0"/>
              <w:rPr>
                <w:rFonts w:ascii="Calibri" w:hAnsi="Calibri" w:cs="Calibri"/>
              </w:rPr>
            </w:pPr>
            <w:r w:rsidRPr="00372C6B">
              <w:rPr>
                <w:rFonts w:ascii="Calibri" w:hAnsi="Calibri" w:cs="Calibri"/>
              </w:rPr>
              <w:t>Real-time Assessment</w:t>
            </w:r>
          </w:p>
        </w:tc>
      </w:tr>
      <w:tr w:rsidR="00FF1BE8" w:rsidRPr="00372C6B" w14:paraId="6C7C40AC" w14:textId="77777777" w:rsidTr="004A644F">
        <w:tc>
          <w:tcPr>
            <w:tcW w:w="3775" w:type="dxa"/>
          </w:tcPr>
          <w:p w14:paraId="72102F16" w14:textId="34E8FC4D" w:rsidR="00FF1BE8" w:rsidRPr="00372C6B" w:rsidRDefault="00FF1BE8" w:rsidP="00FF1BE8">
            <w:pPr>
              <w:pStyle w:val="ListParagraph"/>
              <w:ind w:left="0"/>
              <w:rPr>
                <w:rFonts w:ascii="Calibri" w:hAnsi="Calibri" w:cs="Calibri"/>
              </w:rPr>
            </w:pPr>
            <w:r w:rsidRPr="00372C6B">
              <w:rPr>
                <w:rFonts w:ascii="Calibri" w:hAnsi="Calibri" w:cs="Calibri"/>
              </w:rPr>
              <w:t>SAR</w:t>
            </w:r>
          </w:p>
        </w:tc>
        <w:tc>
          <w:tcPr>
            <w:tcW w:w="4855" w:type="dxa"/>
          </w:tcPr>
          <w:p w14:paraId="71EB572D" w14:textId="4EC71FD5" w:rsidR="00FF1BE8" w:rsidRPr="00372C6B" w:rsidRDefault="00FF1BE8" w:rsidP="00FF1BE8">
            <w:pPr>
              <w:pStyle w:val="ListParagraph"/>
              <w:ind w:left="0"/>
              <w:rPr>
                <w:rFonts w:ascii="Calibri" w:hAnsi="Calibri" w:cs="Calibri"/>
              </w:rPr>
            </w:pPr>
            <w:r w:rsidRPr="00372C6B">
              <w:rPr>
                <w:rFonts w:ascii="Calibri" w:hAnsi="Calibri" w:cs="Calibri"/>
              </w:rPr>
              <w:t>Standard Authorization Request</w:t>
            </w:r>
          </w:p>
        </w:tc>
      </w:tr>
      <w:tr w:rsidR="00AC75B3" w:rsidRPr="00372C6B" w14:paraId="27006BA8" w14:textId="77777777" w:rsidTr="004A644F">
        <w:tc>
          <w:tcPr>
            <w:tcW w:w="3775" w:type="dxa"/>
          </w:tcPr>
          <w:p w14:paraId="41ED057E" w14:textId="66B0468F" w:rsidR="00AC75B3" w:rsidRPr="00372C6B" w:rsidRDefault="00AC75B3" w:rsidP="00FF1BE8">
            <w:pPr>
              <w:pStyle w:val="ListParagraph"/>
              <w:ind w:left="0"/>
              <w:rPr>
                <w:rFonts w:ascii="Calibri" w:hAnsi="Calibri" w:cs="Calibri"/>
              </w:rPr>
            </w:pPr>
            <w:r w:rsidRPr="00372C6B">
              <w:rPr>
                <w:rFonts w:ascii="Calibri" w:hAnsi="Calibri" w:cs="Calibri"/>
              </w:rPr>
              <w:t>SCADA</w:t>
            </w:r>
          </w:p>
        </w:tc>
        <w:tc>
          <w:tcPr>
            <w:tcW w:w="4855" w:type="dxa"/>
          </w:tcPr>
          <w:p w14:paraId="3CF891DC" w14:textId="0687B75D" w:rsidR="00AC75B3" w:rsidRPr="00372C6B" w:rsidRDefault="00AC75B3" w:rsidP="00FF1BE8">
            <w:pPr>
              <w:pStyle w:val="ListParagraph"/>
              <w:ind w:left="0"/>
              <w:rPr>
                <w:rFonts w:ascii="Calibri" w:hAnsi="Calibri" w:cs="Calibri"/>
              </w:rPr>
            </w:pPr>
            <w:r w:rsidRPr="00372C6B">
              <w:rPr>
                <w:rFonts w:ascii="Calibri" w:hAnsi="Calibri" w:cs="Calibri"/>
              </w:rPr>
              <w:t>Supervisory Control and Data Acquisition</w:t>
            </w:r>
          </w:p>
        </w:tc>
      </w:tr>
      <w:tr w:rsidR="00FF1BE8" w:rsidRPr="00372C6B" w14:paraId="74A8FB8B" w14:textId="77777777" w:rsidTr="004A644F">
        <w:tc>
          <w:tcPr>
            <w:tcW w:w="3775" w:type="dxa"/>
          </w:tcPr>
          <w:p w14:paraId="3511A30E" w14:textId="3E00DD38" w:rsidR="00FF1BE8" w:rsidRPr="00372C6B" w:rsidRDefault="00FF1BE8" w:rsidP="00FF1BE8">
            <w:pPr>
              <w:pStyle w:val="ListParagraph"/>
              <w:ind w:left="0"/>
              <w:rPr>
                <w:rFonts w:ascii="Calibri" w:hAnsi="Calibri" w:cs="Calibri"/>
              </w:rPr>
            </w:pPr>
            <w:r w:rsidRPr="00372C6B">
              <w:rPr>
                <w:rFonts w:ascii="Calibri" w:hAnsi="Calibri" w:cs="Calibri"/>
              </w:rPr>
              <w:t>SER</w:t>
            </w:r>
          </w:p>
        </w:tc>
        <w:tc>
          <w:tcPr>
            <w:tcW w:w="4855" w:type="dxa"/>
          </w:tcPr>
          <w:p w14:paraId="00A9297B" w14:textId="6CB6FE7B" w:rsidR="00FF1BE8" w:rsidRPr="00372C6B" w:rsidRDefault="00FF1BE8" w:rsidP="00FF1BE8">
            <w:pPr>
              <w:pStyle w:val="ListParagraph"/>
              <w:ind w:left="0"/>
              <w:rPr>
                <w:rFonts w:ascii="Calibri" w:hAnsi="Calibri" w:cs="Calibri"/>
              </w:rPr>
            </w:pPr>
            <w:bookmarkStart w:id="4" w:name="_Hlk219283274"/>
            <w:r w:rsidRPr="00372C6B">
              <w:rPr>
                <w:rFonts w:ascii="Calibri" w:hAnsi="Calibri" w:cs="Calibri"/>
              </w:rPr>
              <w:t>Sequence of Events Recording</w:t>
            </w:r>
            <w:bookmarkEnd w:id="4"/>
          </w:p>
        </w:tc>
      </w:tr>
      <w:tr w:rsidR="00AC75B3" w:rsidRPr="00372C6B" w14:paraId="788BB916" w14:textId="77777777" w:rsidTr="004A644F">
        <w:tc>
          <w:tcPr>
            <w:tcW w:w="3775" w:type="dxa"/>
          </w:tcPr>
          <w:p w14:paraId="7AA5A6D0" w14:textId="25CE2C28" w:rsidR="00AC75B3" w:rsidRPr="00372C6B" w:rsidRDefault="00AC75B3" w:rsidP="00FF1BE8">
            <w:pPr>
              <w:pStyle w:val="ListParagraph"/>
              <w:ind w:left="0"/>
              <w:rPr>
                <w:rFonts w:ascii="Calibri" w:hAnsi="Calibri" w:cs="Calibri"/>
              </w:rPr>
            </w:pPr>
            <w:r w:rsidRPr="00372C6B">
              <w:rPr>
                <w:rFonts w:ascii="Calibri" w:hAnsi="Calibri" w:cs="Calibri"/>
              </w:rPr>
              <w:t>SF</w:t>
            </w:r>
          </w:p>
        </w:tc>
        <w:tc>
          <w:tcPr>
            <w:tcW w:w="4855" w:type="dxa"/>
          </w:tcPr>
          <w:p w14:paraId="3FFD6EAD" w14:textId="257AC420" w:rsidR="00AC75B3" w:rsidRPr="00372C6B" w:rsidRDefault="00AC75B3" w:rsidP="00FF1BE8">
            <w:pPr>
              <w:pStyle w:val="ListParagraph"/>
              <w:ind w:left="0"/>
              <w:rPr>
                <w:rFonts w:ascii="Calibri" w:hAnsi="Calibri" w:cs="Calibri"/>
              </w:rPr>
            </w:pPr>
            <w:r w:rsidRPr="00372C6B">
              <w:rPr>
                <w:rFonts w:ascii="Calibri" w:hAnsi="Calibri" w:cs="Calibri"/>
              </w:rPr>
              <w:t>Solar Farm</w:t>
            </w:r>
          </w:p>
        </w:tc>
      </w:tr>
      <w:tr w:rsidR="00FF1BE8" w:rsidRPr="00372C6B" w14:paraId="733F57BC" w14:textId="77777777" w:rsidTr="004A644F">
        <w:tc>
          <w:tcPr>
            <w:tcW w:w="3775" w:type="dxa"/>
          </w:tcPr>
          <w:p w14:paraId="416F0EC0" w14:textId="454D8303" w:rsidR="00FF1BE8" w:rsidRPr="00372C6B" w:rsidRDefault="00FF1BE8" w:rsidP="00FF1BE8">
            <w:pPr>
              <w:pStyle w:val="ListParagraph"/>
              <w:ind w:left="0"/>
              <w:rPr>
                <w:rFonts w:ascii="Calibri" w:hAnsi="Calibri" w:cs="Calibri"/>
              </w:rPr>
            </w:pPr>
            <w:r w:rsidRPr="00372C6B">
              <w:rPr>
                <w:rFonts w:ascii="Calibri" w:hAnsi="Calibri" w:cs="Calibri"/>
              </w:rPr>
              <w:lastRenderedPageBreak/>
              <w:t>SOL</w:t>
            </w:r>
          </w:p>
        </w:tc>
        <w:tc>
          <w:tcPr>
            <w:tcW w:w="4855" w:type="dxa"/>
          </w:tcPr>
          <w:p w14:paraId="5C95A09C" w14:textId="60706A9A" w:rsidR="00FF1BE8" w:rsidRPr="00372C6B" w:rsidRDefault="00FF1BE8" w:rsidP="00FF1BE8">
            <w:pPr>
              <w:pStyle w:val="ListParagraph"/>
              <w:ind w:left="0"/>
              <w:rPr>
                <w:rFonts w:ascii="Calibri" w:hAnsi="Calibri" w:cs="Calibri"/>
              </w:rPr>
            </w:pPr>
            <w:r w:rsidRPr="00372C6B">
              <w:rPr>
                <w:rFonts w:ascii="Calibri" w:hAnsi="Calibri" w:cs="Calibri"/>
              </w:rPr>
              <w:t>System Operating Limit</w:t>
            </w:r>
          </w:p>
        </w:tc>
      </w:tr>
      <w:tr w:rsidR="00FF1BE8" w:rsidRPr="00372C6B" w14:paraId="1382F80F" w14:textId="77777777" w:rsidTr="004A644F">
        <w:tc>
          <w:tcPr>
            <w:tcW w:w="3775" w:type="dxa"/>
          </w:tcPr>
          <w:p w14:paraId="1DF8EDA1" w14:textId="324B1EB5" w:rsidR="00FF1BE8" w:rsidRPr="00372C6B" w:rsidRDefault="00FF1BE8" w:rsidP="00FF1BE8">
            <w:pPr>
              <w:pStyle w:val="ListParagraph"/>
              <w:ind w:left="0"/>
              <w:rPr>
                <w:rFonts w:ascii="Calibri" w:hAnsi="Calibri" w:cs="Calibri"/>
              </w:rPr>
            </w:pPr>
            <w:r w:rsidRPr="00372C6B">
              <w:rPr>
                <w:rFonts w:ascii="Calibri" w:hAnsi="Calibri" w:cs="Calibri"/>
              </w:rPr>
              <w:t>Stability</w:t>
            </w:r>
          </w:p>
        </w:tc>
        <w:tc>
          <w:tcPr>
            <w:tcW w:w="4855" w:type="dxa"/>
          </w:tcPr>
          <w:p w14:paraId="71C0FBA6" w14:textId="279BB9C2" w:rsidR="00FF1BE8" w:rsidRPr="00372C6B" w:rsidRDefault="00FF1BE8" w:rsidP="00FF1BE8">
            <w:pPr>
              <w:pStyle w:val="ListParagraph"/>
              <w:ind w:left="0"/>
              <w:rPr>
                <w:rFonts w:ascii="Calibri" w:hAnsi="Calibri" w:cs="Calibri"/>
              </w:rPr>
            </w:pPr>
            <w:r w:rsidRPr="00372C6B">
              <w:rPr>
                <w:rFonts w:ascii="Calibri" w:hAnsi="Calibri" w:cs="Calibri"/>
              </w:rPr>
              <w:t>The ability of an electric system to maintain a state of equilibrium during normal and abnormal conditions or disturbances.</w:t>
            </w:r>
          </w:p>
        </w:tc>
      </w:tr>
      <w:tr w:rsidR="00AC75B3" w:rsidRPr="00372C6B" w14:paraId="454B2813" w14:textId="77777777" w:rsidTr="004A644F">
        <w:tc>
          <w:tcPr>
            <w:tcW w:w="3775" w:type="dxa"/>
          </w:tcPr>
          <w:p w14:paraId="405D8A11" w14:textId="08DC701F" w:rsidR="00AC75B3" w:rsidRPr="00372C6B" w:rsidRDefault="00AC75B3" w:rsidP="00FF1BE8">
            <w:pPr>
              <w:pStyle w:val="ListParagraph"/>
              <w:ind w:left="0"/>
              <w:rPr>
                <w:rFonts w:ascii="Calibri" w:hAnsi="Calibri" w:cs="Calibri"/>
              </w:rPr>
            </w:pPr>
            <w:r w:rsidRPr="00372C6B">
              <w:rPr>
                <w:rFonts w:ascii="Calibri" w:hAnsi="Calibri" w:cs="Calibri"/>
              </w:rPr>
              <w:t>SVC</w:t>
            </w:r>
          </w:p>
        </w:tc>
        <w:tc>
          <w:tcPr>
            <w:tcW w:w="4855" w:type="dxa"/>
          </w:tcPr>
          <w:p w14:paraId="5F867BE0" w14:textId="7EA42AE0" w:rsidR="00AC75B3" w:rsidRPr="00372C6B" w:rsidRDefault="00AC75B3" w:rsidP="00FF1BE8">
            <w:pPr>
              <w:pStyle w:val="ListParagraph"/>
              <w:ind w:left="0"/>
              <w:rPr>
                <w:rFonts w:ascii="Calibri" w:hAnsi="Calibri" w:cs="Calibri"/>
              </w:rPr>
            </w:pPr>
            <w:r w:rsidRPr="00372C6B">
              <w:rPr>
                <w:rFonts w:ascii="Calibri" w:hAnsi="Calibri" w:cs="Calibri"/>
              </w:rPr>
              <w:t>Static Var Compensator</w:t>
            </w:r>
          </w:p>
        </w:tc>
      </w:tr>
      <w:tr w:rsidR="00FF1BE8" w:rsidRPr="00372C6B" w14:paraId="30D73852" w14:textId="77777777" w:rsidTr="004A644F">
        <w:tc>
          <w:tcPr>
            <w:tcW w:w="3775" w:type="dxa"/>
          </w:tcPr>
          <w:p w14:paraId="49B9F3AD" w14:textId="3F956F43" w:rsidR="00FF1BE8" w:rsidRPr="00372C6B" w:rsidRDefault="00FF1BE8" w:rsidP="00FF1BE8">
            <w:pPr>
              <w:pStyle w:val="ListParagraph"/>
              <w:ind w:left="0"/>
              <w:rPr>
                <w:rFonts w:ascii="Calibri" w:hAnsi="Calibri" w:cs="Calibri"/>
              </w:rPr>
            </w:pPr>
            <w:r w:rsidRPr="00372C6B">
              <w:rPr>
                <w:rFonts w:ascii="Calibri" w:hAnsi="Calibri" w:cs="Calibri"/>
              </w:rPr>
              <w:t>TO</w:t>
            </w:r>
          </w:p>
        </w:tc>
        <w:tc>
          <w:tcPr>
            <w:tcW w:w="4855" w:type="dxa"/>
          </w:tcPr>
          <w:p w14:paraId="7DC605BE" w14:textId="4577AB59" w:rsidR="00FF1BE8" w:rsidRPr="00372C6B" w:rsidRDefault="00FF1BE8" w:rsidP="00FF1BE8">
            <w:pPr>
              <w:pStyle w:val="ListParagraph"/>
              <w:ind w:left="0"/>
              <w:rPr>
                <w:rFonts w:ascii="Calibri" w:hAnsi="Calibri" w:cs="Calibri"/>
              </w:rPr>
            </w:pPr>
            <w:r w:rsidRPr="00372C6B">
              <w:rPr>
                <w:rFonts w:ascii="Calibri" w:hAnsi="Calibri" w:cs="Calibri"/>
              </w:rPr>
              <w:t>Transmission Owner</w:t>
            </w:r>
          </w:p>
        </w:tc>
      </w:tr>
      <w:tr w:rsidR="00FF1BE8" w:rsidRPr="00372C6B" w14:paraId="70DA446B" w14:textId="77777777" w:rsidTr="004A644F">
        <w:tc>
          <w:tcPr>
            <w:tcW w:w="3775" w:type="dxa"/>
          </w:tcPr>
          <w:p w14:paraId="632F96BA" w14:textId="4E774AA2" w:rsidR="00FF1BE8" w:rsidRPr="00372C6B" w:rsidRDefault="00FF1BE8" w:rsidP="00FF1BE8">
            <w:pPr>
              <w:pStyle w:val="ListParagraph"/>
              <w:ind w:left="0"/>
              <w:rPr>
                <w:rFonts w:ascii="Calibri" w:hAnsi="Calibri" w:cs="Calibri"/>
              </w:rPr>
            </w:pPr>
            <w:r w:rsidRPr="00372C6B">
              <w:rPr>
                <w:rFonts w:ascii="Calibri" w:hAnsi="Calibri" w:cs="Calibri"/>
              </w:rPr>
              <w:t>TOP</w:t>
            </w:r>
          </w:p>
        </w:tc>
        <w:tc>
          <w:tcPr>
            <w:tcW w:w="4855" w:type="dxa"/>
          </w:tcPr>
          <w:p w14:paraId="33B639F5" w14:textId="0464F0C6" w:rsidR="00FF1BE8" w:rsidRPr="00372C6B" w:rsidRDefault="00FF1BE8" w:rsidP="00FF1BE8">
            <w:pPr>
              <w:pStyle w:val="ListParagraph"/>
              <w:ind w:left="0"/>
              <w:rPr>
                <w:rFonts w:ascii="Calibri" w:hAnsi="Calibri" w:cs="Calibri"/>
              </w:rPr>
            </w:pPr>
            <w:r w:rsidRPr="00372C6B">
              <w:rPr>
                <w:rFonts w:ascii="Calibri" w:hAnsi="Calibri" w:cs="Calibri"/>
              </w:rPr>
              <w:t>Transmission Operator</w:t>
            </w:r>
          </w:p>
        </w:tc>
      </w:tr>
      <w:tr w:rsidR="00FF1BE8" w:rsidRPr="00372C6B" w14:paraId="07E87ABE" w14:textId="77777777" w:rsidTr="004A644F">
        <w:tc>
          <w:tcPr>
            <w:tcW w:w="3775" w:type="dxa"/>
          </w:tcPr>
          <w:p w14:paraId="76330BDE" w14:textId="6C4F8FFE" w:rsidR="00FF1BE8" w:rsidRPr="00372C6B" w:rsidRDefault="00FF1BE8" w:rsidP="00FF1BE8">
            <w:pPr>
              <w:pStyle w:val="ListParagraph"/>
              <w:ind w:left="0"/>
              <w:rPr>
                <w:rFonts w:ascii="Calibri" w:hAnsi="Calibri" w:cs="Calibri"/>
              </w:rPr>
            </w:pPr>
            <w:r w:rsidRPr="00372C6B">
              <w:rPr>
                <w:rFonts w:ascii="Calibri" w:hAnsi="Calibri" w:cs="Calibri"/>
              </w:rPr>
              <w:t>TSA</w:t>
            </w:r>
          </w:p>
        </w:tc>
        <w:tc>
          <w:tcPr>
            <w:tcW w:w="4855" w:type="dxa"/>
          </w:tcPr>
          <w:p w14:paraId="1F5B2D60" w14:textId="7CAA91AF" w:rsidR="00FF1BE8" w:rsidRPr="00372C6B" w:rsidRDefault="00FF1BE8" w:rsidP="00FF1BE8">
            <w:pPr>
              <w:pStyle w:val="ListParagraph"/>
              <w:ind w:left="0"/>
              <w:rPr>
                <w:rFonts w:ascii="Calibri" w:hAnsi="Calibri" w:cs="Calibri"/>
              </w:rPr>
            </w:pPr>
            <w:r w:rsidRPr="00372C6B">
              <w:rPr>
                <w:rFonts w:ascii="Calibri" w:hAnsi="Calibri" w:cs="Calibri"/>
              </w:rPr>
              <w:t xml:space="preserve">Transient Stability Assessment </w:t>
            </w:r>
          </w:p>
        </w:tc>
      </w:tr>
      <w:tr w:rsidR="00AC75B3" w:rsidRPr="00372C6B" w14:paraId="417EF67C" w14:textId="77777777" w:rsidTr="004A644F">
        <w:tc>
          <w:tcPr>
            <w:tcW w:w="3775" w:type="dxa"/>
          </w:tcPr>
          <w:p w14:paraId="3E06C121" w14:textId="58AAA204" w:rsidR="00AC75B3" w:rsidRPr="00372C6B" w:rsidRDefault="00AC75B3" w:rsidP="00FF1BE8">
            <w:pPr>
              <w:pStyle w:val="ListParagraph"/>
              <w:ind w:left="0"/>
              <w:rPr>
                <w:rFonts w:ascii="Calibri" w:hAnsi="Calibri" w:cs="Calibri"/>
              </w:rPr>
            </w:pPr>
            <w:r w:rsidRPr="00372C6B">
              <w:rPr>
                <w:rFonts w:ascii="Calibri" w:hAnsi="Calibri" w:cs="Calibri"/>
              </w:rPr>
              <w:t>TSO</w:t>
            </w:r>
          </w:p>
        </w:tc>
        <w:tc>
          <w:tcPr>
            <w:tcW w:w="4855" w:type="dxa"/>
          </w:tcPr>
          <w:p w14:paraId="242BDB0B" w14:textId="5EC30CB9" w:rsidR="00AC75B3" w:rsidRPr="00372C6B" w:rsidDel="00F6500F" w:rsidRDefault="00AC75B3" w:rsidP="00FF1BE8">
            <w:pPr>
              <w:pStyle w:val="ListParagraph"/>
              <w:ind w:left="0"/>
              <w:rPr>
                <w:rFonts w:ascii="Calibri" w:hAnsi="Calibri" w:cs="Calibri"/>
              </w:rPr>
            </w:pPr>
            <w:r w:rsidRPr="00372C6B">
              <w:rPr>
                <w:rFonts w:ascii="Calibri" w:hAnsi="Calibri" w:cs="Calibri"/>
              </w:rPr>
              <w:t>Transmission System Operator</w:t>
            </w:r>
          </w:p>
        </w:tc>
      </w:tr>
      <w:tr w:rsidR="00FF1BE8" w:rsidRPr="00372C6B" w14:paraId="2822FD2B" w14:textId="77777777" w:rsidTr="004A644F">
        <w:tc>
          <w:tcPr>
            <w:tcW w:w="3775" w:type="dxa"/>
          </w:tcPr>
          <w:p w14:paraId="5EC488AB" w14:textId="7EE0F70E" w:rsidR="00FF1BE8" w:rsidRPr="00372C6B" w:rsidRDefault="00FF1BE8" w:rsidP="00FF1BE8">
            <w:pPr>
              <w:pStyle w:val="ListParagraph"/>
              <w:ind w:left="0"/>
              <w:rPr>
                <w:rFonts w:ascii="Calibri" w:hAnsi="Calibri" w:cs="Calibri"/>
              </w:rPr>
            </w:pPr>
            <w:r w:rsidRPr="00372C6B">
              <w:rPr>
                <w:rFonts w:ascii="Calibri" w:hAnsi="Calibri" w:cs="Calibri"/>
              </w:rPr>
              <w:t>Voltage Stability</w:t>
            </w:r>
          </w:p>
        </w:tc>
        <w:tc>
          <w:tcPr>
            <w:tcW w:w="4855" w:type="dxa"/>
          </w:tcPr>
          <w:p w14:paraId="34BBEA94" w14:textId="2E4832FD" w:rsidR="00FF1BE8" w:rsidRPr="00372C6B" w:rsidRDefault="00FF1BE8" w:rsidP="00FF1BE8">
            <w:pPr>
              <w:pStyle w:val="ListParagraph"/>
              <w:ind w:left="0"/>
              <w:rPr>
                <w:rFonts w:ascii="Calibri" w:hAnsi="Calibri" w:cs="Calibri"/>
              </w:rPr>
            </w:pPr>
            <w:r w:rsidRPr="00372C6B">
              <w:rPr>
                <w:rFonts w:ascii="Calibri" w:hAnsi="Calibri" w:cs="Calibri"/>
              </w:rPr>
              <w:t>“Voltage stability is the capability of the system to supply the load with reactive power for a given real power demand”, V. Venikov</w:t>
            </w:r>
            <w:r w:rsidRPr="00372C6B">
              <w:rPr>
                <w:rFonts w:ascii="Calibri" w:hAnsi="Calibri" w:cs="Calibri"/>
              </w:rPr>
              <w:br/>
              <w:t>“Voltage stability is the ability of a power system to maintain steady acceptable voltages at all buses in the system under normal operating conditions and after being subjected to a disturbance”, P. Kundur.</w:t>
            </w:r>
          </w:p>
        </w:tc>
      </w:tr>
      <w:tr w:rsidR="00FF1BE8" w:rsidRPr="00372C6B" w14:paraId="2FD13A07" w14:textId="77777777" w:rsidTr="004A644F">
        <w:tc>
          <w:tcPr>
            <w:tcW w:w="3775" w:type="dxa"/>
          </w:tcPr>
          <w:p w14:paraId="403CCBE2" w14:textId="3D11F4CB" w:rsidR="00FF1BE8" w:rsidRPr="00372C6B" w:rsidRDefault="00FF1BE8" w:rsidP="00FF1BE8">
            <w:pPr>
              <w:pStyle w:val="ListParagraph"/>
              <w:ind w:left="0"/>
              <w:rPr>
                <w:rFonts w:ascii="Calibri" w:hAnsi="Calibri" w:cs="Calibri"/>
              </w:rPr>
            </w:pPr>
            <w:r w:rsidRPr="00372C6B">
              <w:rPr>
                <w:rFonts w:ascii="Calibri" w:hAnsi="Calibri" w:cs="Calibri"/>
              </w:rPr>
              <w:t>VSA</w:t>
            </w:r>
          </w:p>
        </w:tc>
        <w:tc>
          <w:tcPr>
            <w:tcW w:w="4855" w:type="dxa"/>
          </w:tcPr>
          <w:p w14:paraId="77666F85" w14:textId="36A3D445" w:rsidR="00FF1BE8" w:rsidRPr="00372C6B" w:rsidRDefault="00FF1BE8" w:rsidP="00FF1BE8">
            <w:pPr>
              <w:pStyle w:val="ListParagraph"/>
              <w:ind w:left="0"/>
              <w:rPr>
                <w:rFonts w:ascii="Calibri" w:hAnsi="Calibri" w:cs="Calibri"/>
              </w:rPr>
            </w:pPr>
            <w:r w:rsidRPr="00372C6B">
              <w:rPr>
                <w:rFonts w:ascii="Calibri" w:hAnsi="Calibri" w:cs="Calibri"/>
              </w:rPr>
              <w:t xml:space="preserve">Voltage Stability Assessment </w:t>
            </w:r>
          </w:p>
        </w:tc>
      </w:tr>
      <w:tr w:rsidR="00AC75B3" w:rsidRPr="00372C6B" w14:paraId="30BACF33" w14:textId="77777777" w:rsidTr="004A644F">
        <w:tc>
          <w:tcPr>
            <w:tcW w:w="3775" w:type="dxa"/>
          </w:tcPr>
          <w:p w14:paraId="3F5A0E08" w14:textId="75DAF896" w:rsidR="00AC75B3" w:rsidRPr="00372C6B" w:rsidRDefault="00AC75B3" w:rsidP="00FF1BE8">
            <w:pPr>
              <w:pStyle w:val="ListParagraph"/>
              <w:ind w:left="0"/>
              <w:rPr>
                <w:rFonts w:ascii="Calibri" w:hAnsi="Calibri" w:cs="Calibri"/>
              </w:rPr>
            </w:pPr>
            <w:r w:rsidRPr="00372C6B">
              <w:rPr>
                <w:rFonts w:ascii="Calibri" w:hAnsi="Calibri" w:cs="Calibri"/>
              </w:rPr>
              <w:t>VSC</w:t>
            </w:r>
          </w:p>
        </w:tc>
        <w:tc>
          <w:tcPr>
            <w:tcW w:w="4855" w:type="dxa"/>
          </w:tcPr>
          <w:p w14:paraId="7CD92058" w14:textId="67F75C95" w:rsidR="00AC75B3" w:rsidRPr="00372C6B" w:rsidRDefault="00AC75B3" w:rsidP="00FF1BE8">
            <w:pPr>
              <w:pStyle w:val="ListParagraph"/>
              <w:ind w:left="0"/>
              <w:rPr>
                <w:rFonts w:ascii="Calibri" w:hAnsi="Calibri" w:cs="Calibri"/>
              </w:rPr>
            </w:pPr>
            <w:r w:rsidRPr="00372C6B">
              <w:rPr>
                <w:rFonts w:ascii="Calibri" w:hAnsi="Calibri" w:cs="Calibri"/>
              </w:rPr>
              <w:t>Voltage Source Converter</w:t>
            </w:r>
          </w:p>
        </w:tc>
      </w:tr>
      <w:tr w:rsidR="00FF1BE8" w:rsidRPr="00372C6B" w14:paraId="69511DA4" w14:textId="77777777" w:rsidTr="004A644F">
        <w:tc>
          <w:tcPr>
            <w:tcW w:w="3775" w:type="dxa"/>
          </w:tcPr>
          <w:p w14:paraId="7704504D" w14:textId="68383EFD" w:rsidR="00FF1BE8" w:rsidRPr="00372C6B" w:rsidRDefault="00FF1BE8" w:rsidP="00FF1BE8">
            <w:pPr>
              <w:pStyle w:val="ListParagraph"/>
              <w:ind w:left="0"/>
              <w:rPr>
                <w:rFonts w:ascii="Calibri" w:hAnsi="Calibri" w:cs="Calibri"/>
              </w:rPr>
            </w:pPr>
            <w:r w:rsidRPr="00372C6B">
              <w:rPr>
                <w:rFonts w:ascii="Calibri" w:hAnsi="Calibri" w:cs="Calibri"/>
              </w:rPr>
              <w:t>WAMS</w:t>
            </w:r>
          </w:p>
        </w:tc>
        <w:tc>
          <w:tcPr>
            <w:tcW w:w="4855" w:type="dxa"/>
          </w:tcPr>
          <w:p w14:paraId="7B899CCB" w14:textId="1B0BE95D" w:rsidR="00FF1BE8" w:rsidRPr="00372C6B" w:rsidRDefault="00FF1BE8" w:rsidP="00FF1BE8">
            <w:pPr>
              <w:pStyle w:val="ListParagraph"/>
              <w:ind w:left="0"/>
              <w:rPr>
                <w:rFonts w:ascii="Calibri" w:hAnsi="Calibri" w:cs="Calibri"/>
              </w:rPr>
            </w:pPr>
            <w:r w:rsidRPr="00372C6B">
              <w:rPr>
                <w:rFonts w:ascii="Calibri" w:hAnsi="Calibri" w:cs="Calibri"/>
              </w:rPr>
              <w:t>Wide Area Measurement System</w:t>
            </w:r>
          </w:p>
        </w:tc>
      </w:tr>
      <w:tr w:rsidR="00FF1BE8" w:rsidRPr="00372C6B" w14:paraId="6D6CE3C4" w14:textId="77777777" w:rsidTr="004A644F">
        <w:tc>
          <w:tcPr>
            <w:tcW w:w="3775" w:type="dxa"/>
          </w:tcPr>
          <w:p w14:paraId="7F8A24A0" w14:textId="12CAC006" w:rsidR="00FF1BE8" w:rsidRPr="00372C6B" w:rsidRDefault="00FF1BE8" w:rsidP="00FF1BE8">
            <w:pPr>
              <w:pStyle w:val="ListParagraph"/>
              <w:ind w:left="0"/>
              <w:rPr>
                <w:rFonts w:ascii="Calibri" w:hAnsi="Calibri" w:cs="Calibri"/>
              </w:rPr>
            </w:pPr>
            <w:r w:rsidRPr="00372C6B">
              <w:rPr>
                <w:rFonts w:ascii="Calibri" w:hAnsi="Calibri" w:cs="Calibri"/>
              </w:rPr>
              <w:t>WECC</w:t>
            </w:r>
          </w:p>
        </w:tc>
        <w:tc>
          <w:tcPr>
            <w:tcW w:w="4855" w:type="dxa"/>
          </w:tcPr>
          <w:p w14:paraId="71ABF898" w14:textId="0AA40487" w:rsidR="00FF1BE8" w:rsidRPr="00372C6B" w:rsidRDefault="00FF1BE8" w:rsidP="00FF1BE8">
            <w:pPr>
              <w:pStyle w:val="ListParagraph"/>
              <w:ind w:left="0"/>
              <w:rPr>
                <w:rFonts w:ascii="Calibri" w:hAnsi="Calibri" w:cs="Calibri"/>
              </w:rPr>
            </w:pPr>
            <w:r w:rsidRPr="00372C6B">
              <w:rPr>
                <w:rFonts w:ascii="Calibri" w:hAnsi="Calibri" w:cs="Calibri"/>
              </w:rPr>
              <w:t>Western Electricity Coordinating Council</w:t>
            </w:r>
          </w:p>
        </w:tc>
      </w:tr>
      <w:tr w:rsidR="002A31BC" w:rsidRPr="00372C6B" w14:paraId="0F50478B" w14:textId="77777777" w:rsidTr="004A644F">
        <w:tc>
          <w:tcPr>
            <w:tcW w:w="3775" w:type="dxa"/>
          </w:tcPr>
          <w:p w14:paraId="089AAD79" w14:textId="661BF082" w:rsidR="002A31BC" w:rsidRPr="00372C6B" w:rsidRDefault="002A31BC" w:rsidP="00FF1BE8">
            <w:pPr>
              <w:pStyle w:val="ListParagraph"/>
              <w:ind w:left="0"/>
              <w:rPr>
                <w:rFonts w:ascii="Calibri" w:hAnsi="Calibri" w:cs="Calibri"/>
              </w:rPr>
            </w:pPr>
            <w:r w:rsidRPr="00372C6B">
              <w:rPr>
                <w:rFonts w:ascii="Calibri" w:hAnsi="Calibri" w:cs="Calibri"/>
              </w:rPr>
              <w:t>WMU</w:t>
            </w:r>
          </w:p>
        </w:tc>
        <w:tc>
          <w:tcPr>
            <w:tcW w:w="4855" w:type="dxa"/>
          </w:tcPr>
          <w:p w14:paraId="30FDAFDC" w14:textId="55510E9F" w:rsidR="002A31BC" w:rsidRPr="00372C6B" w:rsidRDefault="002A31BC" w:rsidP="00FF1BE8">
            <w:pPr>
              <w:pStyle w:val="ListParagraph"/>
              <w:ind w:left="0"/>
              <w:rPr>
                <w:rFonts w:ascii="Calibri" w:hAnsi="Calibri" w:cs="Calibri"/>
              </w:rPr>
            </w:pPr>
            <w:r w:rsidRPr="00372C6B">
              <w:rPr>
                <w:rFonts w:ascii="Calibri" w:hAnsi="Calibri" w:cs="Calibri"/>
              </w:rPr>
              <w:t>Waveform Measurement Unit</w:t>
            </w:r>
          </w:p>
        </w:tc>
      </w:tr>
      <w:tr w:rsidR="002A31BC" w:rsidRPr="00372C6B" w14:paraId="71567883" w14:textId="77777777" w:rsidTr="004A644F">
        <w:tc>
          <w:tcPr>
            <w:tcW w:w="3775" w:type="dxa"/>
          </w:tcPr>
          <w:p w14:paraId="60BD760A" w14:textId="63B5423C" w:rsidR="002A31BC" w:rsidRPr="00372C6B" w:rsidRDefault="002A31BC" w:rsidP="00FF1BE8">
            <w:pPr>
              <w:pStyle w:val="ListParagraph"/>
              <w:ind w:left="0"/>
              <w:rPr>
                <w:rFonts w:ascii="Calibri" w:hAnsi="Calibri" w:cs="Calibri"/>
              </w:rPr>
            </w:pPr>
            <w:r w:rsidRPr="00372C6B">
              <w:rPr>
                <w:rFonts w:ascii="Calibri" w:hAnsi="Calibri" w:cs="Calibri"/>
              </w:rPr>
              <w:t>WMZ</w:t>
            </w:r>
          </w:p>
        </w:tc>
        <w:tc>
          <w:tcPr>
            <w:tcW w:w="4855" w:type="dxa"/>
          </w:tcPr>
          <w:p w14:paraId="5F664448" w14:textId="35B1DDC3" w:rsidR="002A31BC" w:rsidRPr="00372C6B" w:rsidRDefault="002A31BC" w:rsidP="00FF1BE8">
            <w:pPr>
              <w:pStyle w:val="ListParagraph"/>
              <w:ind w:left="0"/>
              <w:rPr>
                <w:rFonts w:ascii="Calibri" w:hAnsi="Calibri" w:cs="Calibri"/>
              </w:rPr>
            </w:pPr>
            <w:r w:rsidRPr="00372C6B">
              <w:rPr>
                <w:rFonts w:ascii="Calibri" w:hAnsi="Calibri" w:cs="Calibri"/>
              </w:rPr>
              <w:t>West Murray Zone</w:t>
            </w:r>
          </w:p>
        </w:tc>
      </w:tr>
      <w:tr w:rsidR="002A31BC" w:rsidRPr="00372C6B" w14:paraId="6108FCE7" w14:textId="77777777" w:rsidTr="004A644F">
        <w:tc>
          <w:tcPr>
            <w:tcW w:w="3775" w:type="dxa"/>
          </w:tcPr>
          <w:p w14:paraId="367C81E3" w14:textId="3952EECD" w:rsidR="002A31BC" w:rsidRPr="00372C6B" w:rsidRDefault="002A31BC" w:rsidP="00FF1BE8">
            <w:pPr>
              <w:pStyle w:val="ListParagraph"/>
              <w:ind w:left="0"/>
              <w:rPr>
                <w:rFonts w:ascii="Calibri" w:hAnsi="Calibri" w:cs="Calibri"/>
              </w:rPr>
            </w:pPr>
            <w:r w:rsidRPr="00372C6B">
              <w:rPr>
                <w:rFonts w:ascii="Calibri" w:hAnsi="Calibri" w:cs="Calibri"/>
              </w:rPr>
              <w:t>WP</w:t>
            </w:r>
          </w:p>
        </w:tc>
        <w:tc>
          <w:tcPr>
            <w:tcW w:w="4855" w:type="dxa"/>
          </w:tcPr>
          <w:p w14:paraId="618FB469" w14:textId="14C202A2" w:rsidR="002A31BC" w:rsidRPr="00372C6B" w:rsidRDefault="002A31BC" w:rsidP="00FF1BE8">
            <w:pPr>
              <w:pStyle w:val="ListParagraph"/>
              <w:ind w:left="0"/>
              <w:rPr>
                <w:rFonts w:ascii="Calibri" w:hAnsi="Calibri" w:cs="Calibri"/>
              </w:rPr>
            </w:pPr>
            <w:r w:rsidRPr="00372C6B">
              <w:rPr>
                <w:rFonts w:ascii="Calibri" w:hAnsi="Calibri" w:cs="Calibri"/>
              </w:rPr>
              <w:t>Wind Park</w:t>
            </w:r>
          </w:p>
        </w:tc>
      </w:tr>
      <w:tr w:rsidR="002A31BC" w:rsidRPr="00372C6B" w14:paraId="74421AE7" w14:textId="77777777" w:rsidTr="004A644F">
        <w:tc>
          <w:tcPr>
            <w:tcW w:w="3775" w:type="dxa"/>
          </w:tcPr>
          <w:p w14:paraId="446A5679" w14:textId="13161988" w:rsidR="002A31BC" w:rsidRPr="00372C6B" w:rsidRDefault="002A31BC" w:rsidP="00FF1BE8">
            <w:pPr>
              <w:pStyle w:val="ListParagraph"/>
              <w:ind w:left="0"/>
              <w:rPr>
                <w:rFonts w:ascii="Calibri" w:hAnsi="Calibri" w:cs="Calibri"/>
              </w:rPr>
            </w:pPr>
            <w:r w:rsidRPr="00372C6B">
              <w:rPr>
                <w:rFonts w:ascii="Calibri" w:hAnsi="Calibri" w:cs="Calibri"/>
              </w:rPr>
              <w:t>XMU</w:t>
            </w:r>
          </w:p>
        </w:tc>
        <w:tc>
          <w:tcPr>
            <w:tcW w:w="4855" w:type="dxa"/>
          </w:tcPr>
          <w:p w14:paraId="3E844B1B" w14:textId="5ACF27D6" w:rsidR="002A31BC" w:rsidRPr="00372C6B" w:rsidRDefault="002A31BC" w:rsidP="00FF1BE8">
            <w:pPr>
              <w:pStyle w:val="ListParagraph"/>
              <w:ind w:left="0"/>
              <w:rPr>
                <w:rFonts w:ascii="Calibri" w:hAnsi="Calibri" w:cs="Calibri"/>
              </w:rPr>
            </w:pPr>
            <w:r w:rsidRPr="00372C6B">
              <w:rPr>
                <w:rFonts w:ascii="Calibri" w:hAnsi="Calibri" w:cs="Calibri"/>
              </w:rPr>
              <w:t>Extended Measurement Unit</w:t>
            </w:r>
          </w:p>
        </w:tc>
      </w:tr>
    </w:tbl>
    <w:p w14:paraId="17B274B4" w14:textId="179773C0" w:rsidR="003424F3" w:rsidRDefault="003424F3" w:rsidP="003424F3"/>
    <w:p w14:paraId="28404AA4" w14:textId="77777777" w:rsidR="003424F3" w:rsidRDefault="003424F3">
      <w:r>
        <w:br w:type="page"/>
      </w:r>
    </w:p>
    <w:p w14:paraId="650BFA8A" w14:textId="77777777" w:rsidR="003424F3" w:rsidRDefault="003424F3" w:rsidP="003424F3"/>
    <w:p w14:paraId="616B04A2" w14:textId="6580C27F" w:rsidR="003424F3" w:rsidRDefault="003424F3">
      <w:pPr>
        <w:pStyle w:val="Heading1"/>
        <w:ind w:left="360" w:hanging="360"/>
        <w:rPr>
          <w:rFonts w:cstheme="minorBidi"/>
        </w:rPr>
      </w:pPr>
      <w:bookmarkStart w:id="5" w:name="_Toc242948890"/>
      <w:r>
        <w:rPr>
          <w:rFonts w:ascii="Calibri" w:hAnsi="Calibri" w:cs="Calibri"/>
        </w:rPr>
        <w:t>1.</w:t>
      </w:r>
      <w:r>
        <w:rPr>
          <w:rFonts w:ascii="Times New Roman" w:hAnsi="Times New Roman"/>
          <w:sz w:val="14"/>
          <w:szCs w:val="14"/>
        </w:rPr>
        <w:t xml:space="preserve">  </w:t>
      </w:r>
      <w:r>
        <w:rPr>
          <w:rFonts w:ascii="Calibri" w:hAnsi="Calibri" w:cs="Calibri"/>
        </w:rPr>
        <w:t>Purpose</w:t>
      </w:r>
      <w:bookmarkEnd w:id="5"/>
    </w:p>
    <w:p w14:paraId="2707EC19" w14:textId="77777777" w:rsidR="003424F3" w:rsidRDefault="003424F3">
      <w:r>
        <w:rPr>
          <w:rFonts w:ascii="Calibri" w:hAnsi="Calibri" w:cs="Calibri"/>
        </w:rPr>
        <w:t>The purpose of this white paper is to establish the reliability basis for advancing North American Reliability Standard changes that require real-time and lookahead stability monitoring for Reliability Coordinators and Transmission Operators. The power system community is operating through a period of significant change driven by increased inverter-based resources, distributed energy resources, battery energy storage systems, large computational loads, declining synchronous inertia, changing load behavior, and more complex interactions among controls, protection systems, HVDC facilities, and other power-electronic devices. This document explains why conventional EMS visibility, steady-state monitoring, and post-event disturbance data are no longer sufficient by themselves to ensure that operators can identify instability, harmful oscillations, voltage collapse risk, angular separation, and cascading conditions early enough to coordinate mitigation.</w:t>
      </w:r>
    </w:p>
    <w:p w14:paraId="6E30E9A8" w14:textId="77777777" w:rsidR="003424F3" w:rsidRDefault="003424F3">
      <w:r>
        <w:rPr>
          <w:rFonts w:ascii="Calibri" w:hAnsi="Calibri" w:cs="Calibri"/>
        </w:rPr>
        <w:t>The paper provides a state-of-grid-stability overview, summarizes operating experience from major blackouts and recent oscillation, voltage stability, IBR, DER, BESS, and large-load events, reviews existing NERC Reliability Standards and active NERC projects, identifies the Operations visibility gaps that remain, and recommends a standards pathway to make stability awareness an expected part of real-time operations. The supporting sections review the current reliability need, existing standards and gaps, proposed standards changes, conclusions and implementation priorities, technical references, current industry practices, and event-based lessons that demonstrate the need for real-time oscillation monitoring, synchrophasor-based wide-area visibility, lookahead stability analysis, stability-triggered communications, and stability-focused operating plans.</w:t>
      </w:r>
    </w:p>
    <w:p w14:paraId="478CF04E" w14:textId="77777777" w:rsidR="002302CA" w:rsidRDefault="002302CA" w:rsidP="002302CA">
      <w:pPr>
        <w:rPr>
          <w:rFonts w:ascii="Calibri" w:hAnsi="Calibri" w:cs="Calibri"/>
        </w:rPr>
      </w:pPr>
    </w:p>
    <w:p w14:paraId="3A09E61F" w14:textId="20751AAC" w:rsidR="00BE536B" w:rsidRPr="00372C6B" w:rsidRDefault="00BE536B" w:rsidP="002302CA">
      <w:pPr>
        <w:rPr>
          <w:rFonts w:ascii="Calibri" w:hAnsi="Calibri" w:cs="Calibri"/>
        </w:rPr>
      </w:pPr>
      <w:r w:rsidRPr="00372C6B">
        <w:rPr>
          <w:rFonts w:ascii="Calibri" w:hAnsi="Calibri" w:cs="Calibri"/>
        </w:rPr>
        <w:br w:type="page"/>
      </w:r>
    </w:p>
    <w:p w14:paraId="3D5F6C84" w14:textId="77777777" w:rsidR="00902475" w:rsidRPr="00372C6B" w:rsidRDefault="00BC315C" w:rsidP="00C631BF">
      <w:pPr>
        <w:pStyle w:val="Heading1"/>
        <w:ind w:left="360" w:hanging="360"/>
        <w:rPr>
          <w:rFonts w:ascii="Calibri" w:hAnsi="Calibri" w:cs="Calibri"/>
        </w:rPr>
      </w:pPr>
      <w:bookmarkStart w:id="6" w:name="_Toc242948891"/>
      <w:r w:rsidRPr="00F144E2">
        <w:rPr>
          <w:rFonts w:ascii="Calibri" w:hAnsi="Calibri" w:cs="Calibri"/>
        </w:rPr>
        <w:lastRenderedPageBreak/>
        <w:t>2.</w:t>
      </w:r>
      <w:r w:rsidRPr="00F144E2">
        <w:rPr>
          <w:rFonts w:ascii="Times New Roman" w:hAnsi="Times New Roman"/>
          <w:sz w:val="14"/>
          <w:szCs w:val="14"/>
        </w:rPr>
        <w:t xml:space="preserve">  </w:t>
      </w:r>
      <w:r w:rsidRPr="00F144E2">
        <w:rPr>
          <w:rFonts w:ascii="Calibri" w:hAnsi="Calibri" w:cs="Calibri"/>
        </w:rPr>
        <w:t>State of Grid Stability: The Reliability Need for Real-Time and Lookahead Visibility</w:t>
      </w:r>
      <w:bookmarkEnd w:id="6"/>
    </w:p>
    <w:p w14:paraId="0103691F" w14:textId="4F0FD367" w:rsidR="003515B0" w:rsidRPr="00372C6B" w:rsidRDefault="003515B0" w:rsidP="003515B0">
      <w:pPr>
        <w:rPr>
          <w:rFonts w:ascii="Calibri" w:hAnsi="Calibri" w:cs="Calibri"/>
        </w:rPr>
      </w:pPr>
      <w:r w:rsidRPr="00372C6B">
        <w:rPr>
          <w:rFonts w:ascii="Calibri" w:hAnsi="Calibri" w:cs="Calibri"/>
        </w:rPr>
        <w:t xml:space="preserve">The power system is increasing in size and complexity </w:t>
      </w:r>
      <w:r w:rsidR="004774B7" w:rsidRPr="00372C6B">
        <w:rPr>
          <w:rFonts w:ascii="Calibri" w:hAnsi="Calibri" w:cs="Calibri"/>
        </w:rPr>
        <w:t>due to several factors, including</w:t>
      </w:r>
      <w:r w:rsidRPr="00372C6B">
        <w:rPr>
          <w:rFonts w:ascii="Calibri" w:hAnsi="Calibri" w:cs="Calibri"/>
        </w:rPr>
        <w:t>:</w:t>
      </w:r>
    </w:p>
    <w:p w14:paraId="51B84DAC" w14:textId="77777777" w:rsidR="00902475" w:rsidRPr="00372C6B" w:rsidRDefault="00006051" w:rsidP="00006051">
      <w:pPr>
        <w:pStyle w:val="ListParagraph"/>
        <w:numPr>
          <w:ilvl w:val="0"/>
          <w:numId w:val="4"/>
        </w:numPr>
        <w:rPr>
          <w:rFonts w:ascii="Calibri" w:hAnsi="Calibri" w:cs="Calibri"/>
        </w:rPr>
      </w:pPr>
      <w:r w:rsidRPr="00006051">
        <w:rPr>
          <w:rFonts w:ascii="Calibri" w:hAnsi="Calibri" w:cs="Calibri"/>
        </w:rPr>
        <w:t>Rapid growth in large, voltage-sensitive loads, including data centres, AI compute facilities, and other large computational loads</w:t>
      </w:r>
    </w:p>
    <w:p w14:paraId="2352276F" w14:textId="77777777" w:rsidR="00902475" w:rsidRPr="00372C6B" w:rsidRDefault="004E0889" w:rsidP="004E0889">
      <w:pPr>
        <w:pStyle w:val="ListParagraph"/>
        <w:numPr>
          <w:ilvl w:val="0"/>
          <w:numId w:val="4"/>
        </w:numPr>
        <w:rPr>
          <w:rFonts w:ascii="Calibri" w:hAnsi="Calibri" w:cs="Calibri"/>
        </w:rPr>
      </w:pPr>
      <w:r w:rsidRPr="004E0889">
        <w:rPr>
          <w:rFonts w:ascii="Calibri" w:hAnsi="Calibri" w:cs="Calibri"/>
        </w:rPr>
        <w:t>Increasing electricity</w:t>
      </w:r>
      <w:r w:rsidR="00BC315C" w:rsidRPr="00372C6B">
        <w:rPr>
          <w:rFonts w:ascii="Calibri" w:hAnsi="Calibri" w:cs="Calibri"/>
        </w:rPr>
        <w:t xml:space="preserve"> demand</w:t>
      </w:r>
      <w:r w:rsidR="00BC315C">
        <w:rPr>
          <w:rFonts w:ascii="Calibri" w:hAnsi="Calibri" w:cs="Calibri"/>
        </w:rPr>
        <w:t xml:space="preserve"> </w:t>
      </w:r>
      <w:r w:rsidRPr="004E0889">
        <w:rPr>
          <w:rFonts w:ascii="Calibri" w:hAnsi="Calibri" w:cs="Calibri"/>
        </w:rPr>
        <w:t xml:space="preserve">and higher transfers </w:t>
      </w:r>
      <w:r w:rsidR="00BC315C">
        <w:rPr>
          <w:rFonts w:ascii="Calibri" w:hAnsi="Calibri" w:cs="Calibri"/>
        </w:rPr>
        <w:t xml:space="preserve">across the North American </w:t>
      </w:r>
      <w:r w:rsidRPr="004E0889">
        <w:rPr>
          <w:rFonts w:ascii="Calibri" w:hAnsi="Calibri" w:cs="Calibri"/>
        </w:rPr>
        <w:t>grid</w:t>
      </w:r>
    </w:p>
    <w:p w14:paraId="73324FF4" w14:textId="77777777" w:rsidR="00902475" w:rsidRPr="00372C6B" w:rsidRDefault="00A701C4" w:rsidP="00A701C4">
      <w:pPr>
        <w:pStyle w:val="ListParagraph"/>
        <w:numPr>
          <w:ilvl w:val="0"/>
          <w:numId w:val="4"/>
        </w:numPr>
        <w:rPr>
          <w:rFonts w:ascii="Calibri" w:hAnsi="Calibri" w:cs="Calibri"/>
        </w:rPr>
      </w:pPr>
      <w:r w:rsidRPr="00A701C4">
        <w:rPr>
          <w:rFonts w:ascii="Calibri" w:hAnsi="Calibri" w:cs="Calibri"/>
        </w:rPr>
        <w:t>Declining synchronous inertia as conventional rotating generation is retired or displaced</w:t>
      </w:r>
    </w:p>
    <w:p w14:paraId="32F3D91C" w14:textId="77777777" w:rsidR="00902475" w:rsidRPr="00372C6B" w:rsidRDefault="009A485B" w:rsidP="009A485B">
      <w:pPr>
        <w:pStyle w:val="ListParagraph"/>
        <w:numPr>
          <w:ilvl w:val="0"/>
          <w:numId w:val="4"/>
        </w:numPr>
        <w:rPr>
          <w:rFonts w:ascii="Calibri" w:hAnsi="Calibri" w:cs="Calibri"/>
        </w:rPr>
      </w:pPr>
      <w:r w:rsidRPr="009A485B">
        <w:rPr>
          <w:rFonts w:ascii="Calibri" w:hAnsi="Calibri" w:cs="Calibri"/>
        </w:rPr>
        <w:t>Increasing penetration of inverter-based resources, including solar, wind, battery energy storage, and grid-forming resources</w:t>
      </w:r>
    </w:p>
    <w:p w14:paraId="63608460" w14:textId="77777777" w:rsidR="00902475" w:rsidRPr="00372C6B" w:rsidRDefault="00156954" w:rsidP="00156954">
      <w:pPr>
        <w:pStyle w:val="ListParagraph"/>
        <w:numPr>
          <w:ilvl w:val="0"/>
          <w:numId w:val="4"/>
        </w:numPr>
        <w:rPr>
          <w:rFonts w:ascii="Calibri" w:hAnsi="Calibri" w:cs="Calibri"/>
        </w:rPr>
      </w:pPr>
      <w:r w:rsidRPr="00156954">
        <w:rPr>
          <w:rFonts w:ascii="Calibri" w:hAnsi="Calibri" w:cs="Calibri"/>
        </w:rPr>
        <w:t>Greater deployment of distributed energy resources and edge-controlled demand-side response systems</w:t>
      </w:r>
    </w:p>
    <w:p w14:paraId="419F96E1" w14:textId="77777777" w:rsidR="00902475" w:rsidRPr="00372C6B" w:rsidRDefault="00A361F8" w:rsidP="00A361F8">
      <w:pPr>
        <w:pStyle w:val="ListParagraph"/>
        <w:numPr>
          <w:ilvl w:val="0"/>
          <w:numId w:val="4"/>
        </w:numPr>
        <w:rPr>
          <w:rFonts w:ascii="Calibri" w:hAnsi="Calibri" w:cs="Calibri"/>
        </w:rPr>
      </w:pPr>
      <w:r w:rsidRPr="00A361F8">
        <w:rPr>
          <w:rFonts w:ascii="Calibri" w:hAnsi="Calibri" w:cs="Calibri"/>
        </w:rPr>
        <w:t>More complex dynamic interactions among IBR controls, DERs, protection systems, large loads, HVDC facilities, and other power-electronic devices</w:t>
      </w:r>
    </w:p>
    <w:p w14:paraId="1C3274FF" w14:textId="77777777" w:rsidR="00902475" w:rsidRPr="00372C6B" w:rsidRDefault="00906F61" w:rsidP="00906F61">
      <w:pPr>
        <w:pStyle w:val="ListParagraph"/>
        <w:numPr>
          <w:ilvl w:val="0"/>
          <w:numId w:val="4"/>
        </w:numPr>
        <w:rPr>
          <w:rFonts w:ascii="Calibri" w:hAnsi="Calibri" w:cs="Calibri"/>
        </w:rPr>
      </w:pPr>
      <w:r w:rsidRPr="00906F61">
        <w:rPr>
          <w:rFonts w:ascii="Calibri" w:hAnsi="Calibri" w:cs="Calibri"/>
        </w:rPr>
        <w:t>Reduced natural frequency response and damping from conventional synchronous generation</w:t>
      </w:r>
    </w:p>
    <w:p w14:paraId="5545A8DB" w14:textId="3E98D83E" w:rsidR="00902475" w:rsidRPr="00372C6B" w:rsidRDefault="00BC315C" w:rsidP="001C6718">
      <w:pPr>
        <w:rPr>
          <w:rFonts w:ascii="Calibri" w:hAnsi="Calibri" w:cs="Calibri"/>
        </w:rPr>
      </w:pPr>
      <w:r w:rsidRPr="00906F61">
        <w:rPr>
          <w:rFonts w:ascii="Calibri" w:hAnsi="Calibri" w:cs="Calibri"/>
        </w:rPr>
        <w:t xml:space="preserve">Emerging operating experience demonstrates that </w:t>
      </w:r>
      <w:r w:rsidR="00766DC9" w:rsidRPr="00906F61">
        <w:rPr>
          <w:rFonts w:ascii="Calibri" w:hAnsi="Calibri" w:cs="Calibri"/>
        </w:rPr>
        <w:t>grid stability has become</w:t>
      </w:r>
      <w:r w:rsidRPr="00906F61">
        <w:rPr>
          <w:rFonts w:ascii="Calibri" w:hAnsi="Calibri" w:cs="Calibri"/>
        </w:rPr>
        <w:t xml:space="preserve"> a real-time operating problem, not only a planning concern. </w:t>
      </w:r>
      <w:r w:rsidR="00766DC9" w:rsidRPr="00906F61">
        <w:rPr>
          <w:rFonts w:ascii="Calibri" w:hAnsi="Calibri" w:cs="Calibri"/>
        </w:rPr>
        <w:t>Across</w:t>
      </w:r>
      <w:r w:rsidR="00766DC9" w:rsidRPr="00766DC9">
        <w:rPr>
          <w:rFonts w:ascii="Calibri" w:hAnsi="Calibri" w:cs="Calibri"/>
        </w:rPr>
        <w:t xml:space="preserve"> North America and internationally, the resource mix, load profile, control architecture, and disturbance response of the power system are </w:t>
      </w:r>
      <w:r w:rsidR="00906F61">
        <w:rPr>
          <w:rFonts w:ascii="Calibri" w:hAnsi="Calibri" w:cs="Calibri"/>
        </w:rPr>
        <w:t xml:space="preserve">all </w:t>
      </w:r>
      <w:r w:rsidR="00766DC9" w:rsidRPr="00766DC9">
        <w:rPr>
          <w:rFonts w:ascii="Calibri" w:hAnsi="Calibri" w:cs="Calibri"/>
        </w:rPr>
        <w:t>changing at the same time. Significant</w:t>
      </w:r>
      <w:r w:rsidRPr="00A975D0">
        <w:rPr>
          <w:rFonts w:ascii="Calibri" w:hAnsi="Calibri" w:cs="Calibri"/>
        </w:rPr>
        <w:t xml:space="preserve"> reliability impacts can </w:t>
      </w:r>
      <w:r w:rsidR="00766DC9" w:rsidRPr="00766DC9">
        <w:rPr>
          <w:rFonts w:ascii="Calibri" w:hAnsi="Calibri" w:cs="Calibri"/>
        </w:rPr>
        <w:t xml:space="preserve">now </w:t>
      </w:r>
      <w:r w:rsidRPr="00A975D0">
        <w:rPr>
          <w:rFonts w:ascii="Calibri" w:hAnsi="Calibri" w:cs="Calibri"/>
        </w:rPr>
        <w:t>follow disturbances that initially appear routine, normally cleared, or within traditional steady-state operating expectations. In several documented events, the initiating fault or transmission outage was not the principal reliability issue; the broader risk emerged from the dynamic response of inverter-based resources, electronically controlled loads, weak-grid conditions, low damping, voltage-sensitive controls, or wide-area oscillatory behavior that was not readily visible through conventional SCADA, state estimation, or real-time contingency analysis alone.</w:t>
      </w:r>
    </w:p>
    <w:p w14:paraId="00F7AB2F" w14:textId="77777777" w:rsidR="00902475" w:rsidRPr="00372C6B" w:rsidRDefault="008D568A" w:rsidP="005C0104">
      <w:pPr>
        <w:rPr>
          <w:rFonts w:ascii="Calibri" w:hAnsi="Calibri" w:cs="Calibri"/>
        </w:rPr>
      </w:pPr>
      <w:r w:rsidRPr="008D568A">
        <w:rPr>
          <w:rFonts w:ascii="Calibri" w:hAnsi="Calibri" w:cs="Calibri"/>
        </w:rPr>
        <w:t xml:space="preserve">The Appendix B event review provides multiple examples of this operating gap. The July </w:t>
      </w:r>
      <w:r w:rsidR="00BC315C" w:rsidRPr="00AD4AE0">
        <w:rPr>
          <w:rFonts w:ascii="Calibri" w:hAnsi="Calibri" w:cs="Calibri"/>
        </w:rPr>
        <w:t xml:space="preserve">1996 Western Interconnection </w:t>
      </w:r>
      <w:r w:rsidRPr="008D568A">
        <w:rPr>
          <w:rFonts w:ascii="Calibri" w:hAnsi="Calibri" w:cs="Calibri"/>
        </w:rPr>
        <w:t>event</w:t>
      </w:r>
      <w:r w:rsidR="00BC315C" w:rsidRPr="00AD4AE0">
        <w:rPr>
          <w:rFonts w:ascii="Calibri" w:hAnsi="Calibri" w:cs="Calibri"/>
        </w:rPr>
        <w:t xml:space="preserve"> involved </w:t>
      </w:r>
      <w:r w:rsidRPr="008D568A">
        <w:rPr>
          <w:rFonts w:ascii="Calibri" w:hAnsi="Calibri" w:cs="Calibri"/>
        </w:rPr>
        <w:t xml:space="preserve">a rapid </w:t>
      </w:r>
      <w:r w:rsidR="00BC315C" w:rsidRPr="00AD4AE0">
        <w:rPr>
          <w:rFonts w:ascii="Calibri" w:hAnsi="Calibri" w:cs="Calibri"/>
        </w:rPr>
        <w:t xml:space="preserve">voltage collapse </w:t>
      </w:r>
      <w:r w:rsidRPr="008D568A">
        <w:rPr>
          <w:rFonts w:ascii="Calibri" w:hAnsi="Calibri" w:cs="Calibri"/>
        </w:rPr>
        <w:t xml:space="preserve">in approximately 36 seconds following an N-2 contingency </w:t>
      </w:r>
      <w:r w:rsidR="00BC315C" w:rsidRPr="00AD4AE0">
        <w:rPr>
          <w:rFonts w:ascii="Calibri" w:hAnsi="Calibri" w:cs="Calibri"/>
        </w:rPr>
        <w:t xml:space="preserve">and </w:t>
      </w:r>
      <w:r w:rsidRPr="008D568A">
        <w:rPr>
          <w:rFonts w:ascii="Calibri" w:hAnsi="Calibri" w:cs="Calibri"/>
        </w:rPr>
        <w:t xml:space="preserve">unanticipated operating conditions. The August 1996 Western Interconnection event involved growing 0.25 Hz </w:t>
      </w:r>
      <w:r w:rsidR="00BC315C" w:rsidRPr="00AD4AE0">
        <w:rPr>
          <w:rFonts w:ascii="Calibri" w:hAnsi="Calibri" w:cs="Calibri"/>
        </w:rPr>
        <w:t xml:space="preserve">inter-area </w:t>
      </w:r>
      <w:r w:rsidRPr="008D568A">
        <w:rPr>
          <w:rFonts w:ascii="Calibri" w:hAnsi="Calibri" w:cs="Calibri"/>
        </w:rPr>
        <w:t>oscillations, separation of</w:t>
      </w:r>
      <w:r w:rsidR="00BC315C" w:rsidRPr="00AD4AE0">
        <w:rPr>
          <w:rFonts w:ascii="Calibri" w:hAnsi="Calibri" w:cs="Calibri"/>
        </w:rPr>
        <w:t xml:space="preserve"> the </w:t>
      </w:r>
      <w:r w:rsidRPr="008D568A">
        <w:rPr>
          <w:rFonts w:ascii="Calibri" w:hAnsi="Calibri" w:cs="Calibri"/>
        </w:rPr>
        <w:t xml:space="preserve">Western Interconnection into four islands, and widespread customer and load loss. The </w:t>
      </w:r>
      <w:r w:rsidR="00BC315C" w:rsidRPr="00AD4AE0">
        <w:rPr>
          <w:rFonts w:ascii="Calibri" w:hAnsi="Calibri" w:cs="Calibri"/>
        </w:rPr>
        <w:t xml:space="preserve">2003 Northeast </w:t>
      </w:r>
      <w:r w:rsidRPr="008D568A">
        <w:rPr>
          <w:rFonts w:ascii="Calibri" w:hAnsi="Calibri" w:cs="Calibri"/>
        </w:rPr>
        <w:t xml:space="preserve">blackout </w:t>
      </w:r>
      <w:r w:rsidR="00BC315C" w:rsidRPr="00AD4AE0">
        <w:rPr>
          <w:rFonts w:ascii="Calibri" w:hAnsi="Calibri" w:cs="Calibri"/>
        </w:rPr>
        <w:t xml:space="preserve">and 2011 Pacific Southwest </w:t>
      </w:r>
      <w:r w:rsidRPr="008D568A">
        <w:rPr>
          <w:rFonts w:ascii="Calibri" w:hAnsi="Calibri" w:cs="Calibri"/>
        </w:rPr>
        <w:t>blackout both</w:t>
      </w:r>
      <w:r w:rsidR="00BC315C" w:rsidRPr="00AD4AE0">
        <w:rPr>
          <w:rFonts w:ascii="Calibri" w:hAnsi="Calibri" w:cs="Calibri"/>
        </w:rPr>
        <w:t xml:space="preserve"> identified inadequate real-time situational awareness, insufficient external visibility, and limitations in real-time tools</w:t>
      </w:r>
      <w:r w:rsidRPr="008D568A">
        <w:rPr>
          <w:rFonts w:ascii="Calibri" w:hAnsi="Calibri" w:cs="Calibri"/>
        </w:rPr>
        <w:t xml:space="preserve"> as contributing reliability issues. The </w:t>
      </w:r>
      <w:r w:rsidR="00BC315C" w:rsidRPr="00AD4AE0">
        <w:rPr>
          <w:rFonts w:ascii="Calibri" w:hAnsi="Calibri" w:cs="Calibri"/>
        </w:rPr>
        <w:t xml:space="preserve">2019 Florida forced oscillation </w:t>
      </w:r>
      <w:r w:rsidRPr="008D568A">
        <w:rPr>
          <w:rFonts w:ascii="Calibri" w:hAnsi="Calibri" w:cs="Calibri"/>
        </w:rPr>
        <w:t xml:space="preserve">showed that a single malfunctioning generating unit </w:t>
      </w:r>
      <w:r w:rsidR="00BC315C" w:rsidRPr="00AD4AE0">
        <w:rPr>
          <w:rFonts w:ascii="Calibri" w:hAnsi="Calibri" w:cs="Calibri"/>
        </w:rPr>
        <w:t xml:space="preserve">can </w:t>
      </w:r>
      <w:r w:rsidRPr="008D568A">
        <w:rPr>
          <w:rFonts w:ascii="Calibri" w:hAnsi="Calibri" w:cs="Calibri"/>
        </w:rPr>
        <w:t>drive</w:t>
      </w:r>
      <w:r w:rsidR="00BC315C" w:rsidRPr="00AD4AE0">
        <w:rPr>
          <w:rFonts w:ascii="Calibri" w:hAnsi="Calibri" w:cs="Calibri"/>
        </w:rPr>
        <w:t xml:space="preserve"> an interconnection</w:t>
      </w:r>
      <w:r w:rsidRPr="008D568A">
        <w:rPr>
          <w:rFonts w:ascii="Calibri" w:hAnsi="Calibri" w:cs="Calibri"/>
        </w:rPr>
        <w:t>-wide oscillation for an extended period</w:t>
      </w:r>
      <w:r w:rsidR="00BC315C" w:rsidRPr="00AD4AE0">
        <w:rPr>
          <w:rFonts w:ascii="Calibri" w:hAnsi="Calibri" w:cs="Calibri"/>
        </w:rPr>
        <w:t xml:space="preserve"> and </w:t>
      </w:r>
      <w:r w:rsidRPr="008D568A">
        <w:rPr>
          <w:rFonts w:ascii="Calibri" w:hAnsi="Calibri" w:cs="Calibri"/>
        </w:rPr>
        <w:t>that operators</w:t>
      </w:r>
      <w:r w:rsidR="00BC315C" w:rsidRPr="00AD4AE0">
        <w:rPr>
          <w:rFonts w:ascii="Calibri" w:hAnsi="Calibri" w:cs="Calibri"/>
        </w:rPr>
        <w:t xml:space="preserve"> require </w:t>
      </w:r>
      <w:r w:rsidRPr="008D568A">
        <w:rPr>
          <w:rFonts w:ascii="Calibri" w:hAnsi="Calibri" w:cs="Calibri"/>
        </w:rPr>
        <w:t xml:space="preserve">tools capable of detecting oscillations, distinguishing forced </w:t>
      </w:r>
      <w:r w:rsidRPr="008D568A">
        <w:rPr>
          <w:rFonts w:ascii="Calibri" w:hAnsi="Calibri" w:cs="Calibri"/>
        </w:rPr>
        <w:lastRenderedPageBreak/>
        <w:t>oscillations from natural modes, locating the source,</w:t>
      </w:r>
      <w:r w:rsidR="00BC315C" w:rsidRPr="00AD4AE0">
        <w:rPr>
          <w:rFonts w:ascii="Calibri" w:hAnsi="Calibri" w:cs="Calibri"/>
        </w:rPr>
        <w:t xml:space="preserve"> and </w:t>
      </w:r>
      <w:r w:rsidRPr="008D568A">
        <w:rPr>
          <w:rFonts w:ascii="Calibri" w:hAnsi="Calibri" w:cs="Calibri"/>
        </w:rPr>
        <w:t>coordinating with neighboring RCs and TOPs</w:t>
      </w:r>
      <w:r w:rsidR="00BC315C" w:rsidRPr="00AD4AE0">
        <w:rPr>
          <w:rFonts w:ascii="Calibri" w:hAnsi="Calibri" w:cs="Calibri"/>
        </w:rPr>
        <w:t>.</w:t>
      </w:r>
    </w:p>
    <w:p w14:paraId="5FCD8397" w14:textId="77777777" w:rsidR="00902475" w:rsidRPr="00372C6B" w:rsidRDefault="008D0F5A" w:rsidP="009D32CF">
      <w:pPr>
        <w:rPr>
          <w:rFonts w:ascii="Calibri" w:hAnsi="Calibri" w:cs="Calibri"/>
        </w:rPr>
      </w:pPr>
      <w:r w:rsidRPr="008D0F5A">
        <w:rPr>
          <w:rFonts w:ascii="Calibri" w:hAnsi="Calibri" w:cs="Calibri"/>
        </w:rPr>
        <w:t>More recent events reinforce the same conclusion. The November 2025 Wyoming disturbance involved a planned 500 kV outage, deficiencies in real-time contingency analysis configuration and alarming, a rapid voltage collapse at the Aeolus 500 kV bus, separation within less than one second, and the loss of transmission elements, generation, load, and customers within seconds. The 2025 Iberian Peninsula blackout involved oscillations, voltage-control challenges, generation disconnections, and a grid collapse within seconds of the initiating sequence, despite the presence of some PMU capabilities. International examples from Australia and Great Britain, including the West Murray oscillations, North Scotland 8 Hz oscillations, and Glasgow-area oscillatory events, show that weak-grid conditions, IBR control interactions, low damping, and controller settings can create dynamic conditions that require immediate control-room recognition and action.</w:t>
      </w:r>
    </w:p>
    <w:p w14:paraId="4BAB7A5B" w14:textId="77777777" w:rsidR="00902475" w:rsidRPr="00372C6B" w:rsidRDefault="00BC315C" w:rsidP="00C17A5F">
      <w:pPr>
        <w:rPr>
          <w:rFonts w:ascii="Calibri" w:hAnsi="Calibri" w:cs="Calibri"/>
        </w:rPr>
      </w:pPr>
      <w:r>
        <w:rPr>
          <w:rFonts w:ascii="Calibri" w:hAnsi="Calibri" w:cs="Calibri"/>
        </w:rPr>
        <w:t>T</w:t>
      </w:r>
      <w:r w:rsidRPr="000E6546">
        <w:rPr>
          <w:rFonts w:ascii="Calibri" w:hAnsi="Calibri" w:cs="Calibri"/>
        </w:rPr>
        <w:t xml:space="preserve">he industry is now seeing operational risk from the aggregate response of IBRs, DERs, </w:t>
      </w:r>
      <w:r w:rsidR="00D561E7" w:rsidRPr="00D561E7">
        <w:rPr>
          <w:rFonts w:ascii="Calibri" w:hAnsi="Calibri" w:cs="Calibri"/>
        </w:rPr>
        <w:t>battery energy storage system (</w:t>
      </w:r>
      <w:r w:rsidRPr="000E6546">
        <w:rPr>
          <w:rFonts w:ascii="Calibri" w:hAnsi="Calibri" w:cs="Calibri"/>
        </w:rPr>
        <w:t>BES</w:t>
      </w:r>
      <w:r>
        <w:rPr>
          <w:rFonts w:ascii="Calibri" w:hAnsi="Calibri" w:cs="Calibri"/>
        </w:rPr>
        <w:t>S</w:t>
      </w:r>
      <w:r w:rsidR="00D561E7" w:rsidRPr="00D561E7">
        <w:rPr>
          <w:rFonts w:ascii="Calibri" w:hAnsi="Calibri" w:cs="Calibri"/>
        </w:rPr>
        <w:t>)</w:t>
      </w:r>
      <w:r w:rsidRPr="000E6546">
        <w:rPr>
          <w:rFonts w:ascii="Calibri" w:hAnsi="Calibri" w:cs="Calibri"/>
        </w:rPr>
        <w:t xml:space="preserve"> facilities, and large computational loads. NERC and WECC have documented events where normally cleared transmission faults were followed by unexpected reductions or trips of solar, wind, and BESS resources. NERC’s 2025 lesson learned on IBR control interactions and oscillatory events documented controller-driven oscillations at hybrid BESS/PV facilities that were observed through wide-area monitoring systems, while plant personnel were not initially aware of the system-level impact. NERC’s 2026 Reliability Insights on large computational load risks documented voltage-sensitive data centers and other computational loads rapidly reducing or transferring load following voltage disturbances, creating sudden MW imbalances, voltage excursions, and frequency impacts that may not be represented adequately in traditional load models.</w:t>
      </w:r>
    </w:p>
    <w:p w14:paraId="3D8DB73F" w14:textId="12C48E4C" w:rsidR="00902475" w:rsidRPr="00372C6B" w:rsidRDefault="00BC315C" w:rsidP="00F958F9">
      <w:pPr>
        <w:rPr>
          <w:rFonts w:ascii="Calibri" w:hAnsi="Calibri" w:cs="Calibri"/>
        </w:rPr>
      </w:pPr>
      <w:commentRangeStart w:id="7"/>
      <w:r w:rsidRPr="00D806DE">
        <w:rPr>
          <w:rFonts w:ascii="Calibri" w:hAnsi="Calibri" w:cs="Calibri"/>
        </w:rPr>
        <w:t xml:space="preserve">NERC’s recent and active standards work confirms that these risks are significant, but it also highlights the remaining Operations visibility gap. </w:t>
      </w:r>
      <w:r w:rsidRPr="00D806DE">
        <w:rPr>
          <w:rFonts w:ascii="Calibri" w:hAnsi="Calibri" w:cs="Calibri"/>
          <w:b/>
          <w:bCs/>
        </w:rPr>
        <w:t>Project 2025-03 Order No. 901 Operational Studies</w:t>
      </w:r>
      <w:r w:rsidRPr="00D806DE">
        <w:rPr>
          <w:rFonts w:ascii="Calibri" w:hAnsi="Calibri" w:cs="Calibri"/>
        </w:rPr>
        <w:t xml:space="preserve"> addresses </w:t>
      </w:r>
      <w:r w:rsidRPr="00EA27EB">
        <w:rPr>
          <w:rFonts w:ascii="Calibri" w:hAnsi="Calibri" w:cs="Calibri"/>
        </w:rPr>
        <w:t xml:space="preserve">FERC Order No. 901 directives associated with including </w:t>
      </w:r>
      <w:r w:rsidRPr="00D806DE">
        <w:rPr>
          <w:rFonts w:ascii="Calibri" w:hAnsi="Calibri" w:cs="Calibri"/>
        </w:rPr>
        <w:t>IBR performance and behavior in operational assessments and real-time monitoring</w:t>
      </w:r>
      <w:r w:rsidRPr="00EA27EB">
        <w:rPr>
          <w:rFonts w:ascii="Calibri" w:hAnsi="Calibri" w:cs="Calibri"/>
        </w:rPr>
        <w:t xml:space="preserve"> of </w:t>
      </w:r>
      <w:r w:rsidRPr="00D806DE">
        <w:rPr>
          <w:rFonts w:ascii="Calibri" w:hAnsi="Calibri" w:cs="Calibri"/>
        </w:rPr>
        <w:t>individual IBR plants, aggregate IBRs, and aggregate DERs. Related Order No. 901 work</w:t>
      </w:r>
      <w:r w:rsidRPr="00EA27EB">
        <w:rPr>
          <w:rFonts w:ascii="Calibri" w:hAnsi="Calibri" w:cs="Calibri"/>
        </w:rPr>
        <w:t xml:space="preserve"> includes</w:t>
      </w:r>
      <w:r w:rsidRPr="00D806DE">
        <w:rPr>
          <w:rFonts w:ascii="Calibri" w:hAnsi="Calibri" w:cs="Calibri"/>
        </w:rPr>
        <w:t xml:space="preserve"> </w:t>
      </w:r>
      <w:r w:rsidRPr="00EA27EB">
        <w:rPr>
          <w:rFonts w:ascii="Calibri" w:hAnsi="Calibri" w:cs="Calibri"/>
          <w:b/>
        </w:rPr>
        <w:t>PRC-028</w:t>
      </w:r>
      <w:r w:rsidRPr="00EA27EB">
        <w:rPr>
          <w:rFonts w:ascii="Calibri" w:hAnsi="Calibri" w:cs="Calibri"/>
          <w:b/>
          <w:bCs/>
        </w:rPr>
        <w:t>-1, Disturbance Monitoring and Reporting Requirements for Inverter-Based Resources</w:t>
      </w:r>
      <w:r w:rsidRPr="00EA27EB">
        <w:rPr>
          <w:rFonts w:ascii="Calibri" w:hAnsi="Calibri" w:cs="Calibri"/>
        </w:rPr>
        <w:t>, which supports</w:t>
      </w:r>
      <w:r w:rsidRPr="00D806DE">
        <w:rPr>
          <w:rFonts w:ascii="Calibri" w:hAnsi="Calibri" w:cs="Calibri"/>
        </w:rPr>
        <w:t xml:space="preserve"> disturbance </w:t>
      </w:r>
      <w:r w:rsidRPr="00EA27EB">
        <w:rPr>
          <w:rFonts w:ascii="Calibri" w:hAnsi="Calibri" w:cs="Calibri"/>
        </w:rPr>
        <w:t xml:space="preserve">data collection for </w:t>
      </w:r>
      <w:r w:rsidR="00EE1E08" w:rsidRPr="00EE1E08">
        <w:rPr>
          <w:rFonts w:ascii="Calibri" w:hAnsi="Calibri" w:cs="Calibri"/>
        </w:rPr>
        <w:t xml:space="preserve">evaluating </w:t>
      </w:r>
      <w:r w:rsidRPr="00EA27EB">
        <w:rPr>
          <w:rFonts w:ascii="Calibri" w:hAnsi="Calibri" w:cs="Calibri"/>
        </w:rPr>
        <w:t xml:space="preserve">IBR </w:t>
      </w:r>
      <w:r w:rsidRPr="00D806DE">
        <w:rPr>
          <w:rFonts w:ascii="Calibri" w:hAnsi="Calibri" w:cs="Calibri"/>
        </w:rPr>
        <w:t xml:space="preserve">ride-through </w:t>
      </w:r>
      <w:r w:rsidR="00EE1E08" w:rsidRPr="00EE1E08">
        <w:rPr>
          <w:rFonts w:ascii="Calibri" w:hAnsi="Calibri" w:cs="Calibri"/>
        </w:rPr>
        <w:t>performance during system disturbances and for</w:t>
      </w:r>
      <w:r w:rsidRPr="00D806DE">
        <w:rPr>
          <w:rFonts w:ascii="Calibri" w:hAnsi="Calibri" w:cs="Calibri"/>
        </w:rPr>
        <w:t xml:space="preserve"> </w:t>
      </w:r>
      <w:r w:rsidRPr="00EA27EB">
        <w:rPr>
          <w:rFonts w:ascii="Calibri" w:hAnsi="Calibri" w:cs="Calibri"/>
        </w:rPr>
        <w:t xml:space="preserve">IBR </w:t>
      </w:r>
      <w:r w:rsidRPr="00D806DE">
        <w:rPr>
          <w:rFonts w:ascii="Calibri" w:hAnsi="Calibri" w:cs="Calibri"/>
        </w:rPr>
        <w:t>model validation</w:t>
      </w:r>
      <w:r w:rsidRPr="00EA27EB">
        <w:rPr>
          <w:rFonts w:ascii="Calibri" w:hAnsi="Calibri" w:cs="Calibri"/>
        </w:rPr>
        <w:t xml:space="preserve">, and </w:t>
      </w:r>
      <w:r w:rsidRPr="00EA27EB">
        <w:rPr>
          <w:rFonts w:ascii="Calibri" w:hAnsi="Calibri" w:cs="Calibri"/>
          <w:b/>
          <w:bCs/>
        </w:rPr>
        <w:t>PRC-029-2, Frequency and Voltage Ride-through Requirements for Inverter-Based Resources</w:t>
      </w:r>
      <w:r w:rsidRPr="00EA27EB">
        <w:rPr>
          <w:rFonts w:ascii="Calibri" w:hAnsi="Calibri" w:cs="Calibri"/>
        </w:rPr>
        <w:t>, which requires IBRs to ride through defined frequency and voltage excursions to support the Bulk Power System during and after disturbances.</w:t>
      </w:r>
      <w:r w:rsidRPr="00D806DE">
        <w:rPr>
          <w:rFonts w:ascii="Calibri" w:hAnsi="Calibri" w:cs="Calibri"/>
        </w:rPr>
        <w:t xml:space="preserve"> </w:t>
      </w:r>
      <w:r w:rsidRPr="00D806DE">
        <w:rPr>
          <w:rFonts w:ascii="Calibri" w:hAnsi="Calibri" w:cs="Calibri"/>
          <w:b/>
          <w:bCs/>
        </w:rPr>
        <w:t>Project 2026-02 Computational Loads</w:t>
      </w:r>
      <w:r w:rsidRPr="00D806DE">
        <w:rPr>
          <w:rFonts w:ascii="Calibri" w:hAnsi="Calibri" w:cs="Calibri"/>
        </w:rPr>
        <w:t xml:space="preserve"> addresses emerging reliability risks associated with large computational loads</w:t>
      </w:r>
      <w:r w:rsidRPr="00EA27EB">
        <w:rPr>
          <w:rFonts w:ascii="Calibri" w:hAnsi="Calibri" w:cs="Calibri"/>
        </w:rPr>
        <w:t xml:space="preserve"> and includes proposed </w:t>
      </w:r>
      <w:r w:rsidRPr="00EE1E08">
        <w:rPr>
          <w:rFonts w:ascii="Calibri" w:hAnsi="Calibri" w:cs="Calibri"/>
          <w:b/>
        </w:rPr>
        <w:t>CLO</w:t>
      </w:r>
      <w:r w:rsidR="00EE1E08" w:rsidRPr="00EE1E08">
        <w:rPr>
          <w:rFonts w:ascii="Calibri" w:hAnsi="Calibri" w:cs="Calibri"/>
          <w:b/>
          <w:bCs/>
        </w:rPr>
        <w:t xml:space="preserve">-001-1, Computational </w:t>
      </w:r>
      <w:r w:rsidR="00EE1E08" w:rsidRPr="00EE1E08">
        <w:rPr>
          <w:rFonts w:ascii="Calibri" w:hAnsi="Calibri" w:cs="Calibri"/>
          <w:b/>
          <w:bCs/>
        </w:rPr>
        <w:lastRenderedPageBreak/>
        <w:t>Load Interconnection, Studies, &amp; Modeling Data</w:t>
      </w:r>
      <w:r w:rsidR="00EE1E08" w:rsidRPr="00EE1E08">
        <w:rPr>
          <w:rFonts w:ascii="Calibri" w:hAnsi="Calibri" w:cs="Calibri"/>
        </w:rPr>
        <w:t xml:space="preserve">; </w:t>
      </w:r>
      <w:r w:rsidR="00EE1E08" w:rsidRPr="00EE1E08">
        <w:rPr>
          <w:rFonts w:ascii="Calibri" w:hAnsi="Calibri" w:cs="Calibri"/>
          <w:b/>
          <w:bCs/>
        </w:rPr>
        <w:t>CLO-002-1, Computational Load Operational Data</w:t>
      </w:r>
      <w:r w:rsidRPr="00EE1E08">
        <w:rPr>
          <w:rFonts w:ascii="Calibri" w:hAnsi="Calibri" w:cs="Calibri"/>
          <w:b/>
        </w:rPr>
        <w:t xml:space="preserve"> and </w:t>
      </w:r>
      <w:r w:rsidR="00EE1E08" w:rsidRPr="00EE1E08">
        <w:rPr>
          <w:rFonts w:ascii="Calibri" w:hAnsi="Calibri" w:cs="Calibri"/>
          <w:b/>
          <w:bCs/>
        </w:rPr>
        <w:t>Communications</w:t>
      </w:r>
      <w:r w:rsidR="00EE1E08" w:rsidRPr="00EE1E08">
        <w:rPr>
          <w:rFonts w:ascii="Calibri" w:hAnsi="Calibri" w:cs="Calibri"/>
        </w:rPr>
        <w:t>;</w:t>
      </w:r>
      <w:r w:rsidRPr="00EA27EB">
        <w:rPr>
          <w:rFonts w:ascii="Calibri" w:hAnsi="Calibri" w:cs="Calibri"/>
        </w:rPr>
        <w:t xml:space="preserve"> and </w:t>
      </w:r>
      <w:r w:rsidR="00EE1E08" w:rsidRPr="00EE1E08">
        <w:rPr>
          <w:rFonts w:ascii="Calibri" w:hAnsi="Calibri" w:cs="Calibri"/>
          <w:b/>
          <w:bCs/>
        </w:rPr>
        <w:t>CLO-003-1, Computational Load Protection Coordination &amp; Disturbance Monitoring</w:t>
      </w:r>
      <w:r w:rsidR="00EE1E08" w:rsidRPr="00EE1E08">
        <w:rPr>
          <w:rFonts w:ascii="Calibri" w:hAnsi="Calibri" w:cs="Calibri"/>
        </w:rPr>
        <w:t>.</w:t>
      </w:r>
      <w:r w:rsidRPr="00D806DE">
        <w:rPr>
          <w:rFonts w:ascii="Calibri" w:hAnsi="Calibri" w:cs="Calibri"/>
        </w:rPr>
        <w:t xml:space="preserve"> These projects are essential</w:t>
      </w:r>
      <w:r w:rsidR="00EE1E08" w:rsidRPr="00EE1E08">
        <w:rPr>
          <w:rFonts w:ascii="Calibri" w:hAnsi="Calibri" w:cs="Calibri"/>
        </w:rPr>
        <w:t xml:space="preserve"> and should be viewed as part </w:t>
      </w:r>
      <w:commentRangeEnd w:id="7"/>
      <w:r w:rsidR="003424F3" w:rsidRPr="00EE1E08">
        <w:rPr>
          <w:rStyle w:val="CommentReference"/>
          <w:rFonts w:ascii="Calibri" w:hAnsi="Calibri" w:cs="Calibri"/>
          <w:sz w:val="24"/>
          <w:szCs w:val="24"/>
        </w:rPr>
        <w:commentReference w:id="7"/>
      </w:r>
      <w:r w:rsidR="00EE1E08" w:rsidRPr="00EE1E08">
        <w:rPr>
          <w:rFonts w:ascii="Calibri" w:hAnsi="Calibri" w:cs="Calibri"/>
        </w:rPr>
        <w:t>of the industry’s broader response to a changing grid. However,</w:t>
      </w:r>
      <w:r w:rsidRPr="00D806DE">
        <w:rPr>
          <w:rFonts w:ascii="Calibri" w:hAnsi="Calibri" w:cs="Calibri"/>
        </w:rPr>
        <w:t xml:space="preserve"> they do not by themselves create a complete requirement for RCs and TOPs to maintain control-room-grade visibility into oscillation damping, forced oscillations, angular separation, voltage instability margins, dynamic security, large-load response, or the lookahead stability consequences of the current operating point.</w:t>
      </w:r>
      <w:r w:rsidR="00EE1E08" w:rsidRPr="00EE1E08">
        <w:rPr>
          <w:rFonts w:ascii="Calibri" w:hAnsi="Calibri" w:cs="Calibri"/>
        </w:rPr>
        <w:t xml:space="preserve"> </w:t>
      </w:r>
    </w:p>
    <w:p w14:paraId="1FF98171" w14:textId="77777777" w:rsidR="00902475" w:rsidRPr="00372C6B" w:rsidRDefault="0058094E" w:rsidP="00E97105">
      <w:pPr>
        <w:rPr>
          <w:rFonts w:ascii="Calibri" w:hAnsi="Calibri" w:cs="Calibri"/>
        </w:rPr>
      </w:pPr>
      <w:r w:rsidRPr="0058094E">
        <w:rPr>
          <w:rFonts w:ascii="Calibri" w:hAnsi="Calibri" w:cs="Calibri"/>
        </w:rPr>
        <w:t>That is the critical gap this white paper addresses. Operators can generally see breaker status, flows, voltage magnitudes, alarms, topology, contingency-analysis results, and modeled limit exceedances. They cannot necessarily see whether a mode is becoming poorly damped, whether an oscillation is forced or natural, whether the source is inside or outside their footprint, whether angular separation is increasing, whether voltage recovery is becoming unstable, whether a large computational load or aggregate DER response will materially change the disturbance outcome, or whether the next credible contingency will move the system across a dynamic stability boundary. Operations cannot reliably detect large swings, harmful oscillations, voltage instability, angular separation, or cascading risk early enough to coordinate mitigation unless real-time oscillation monitoring, synchrophasor-based wide-area visibility, voltage and angular stability indicators, and lookahead stability analysis are embedded in the operating environment.</w:t>
      </w:r>
    </w:p>
    <w:p w14:paraId="30ECAF89" w14:textId="77777777" w:rsidR="00902475" w:rsidRPr="00372C6B" w:rsidRDefault="002E19AD" w:rsidP="00B863BB">
      <w:pPr>
        <w:rPr>
          <w:rFonts w:ascii="Calibri" w:hAnsi="Calibri" w:cs="Calibri"/>
        </w:rPr>
      </w:pPr>
      <w:r w:rsidRPr="002E19AD">
        <w:rPr>
          <w:rFonts w:ascii="Calibri" w:hAnsi="Calibri" w:cs="Calibri"/>
        </w:rPr>
        <w:t>The reliability need is therefore direct and immediate: the industry must ensure that the grid remains stable as these significant changes accelerate, and</w:t>
      </w:r>
      <w:r w:rsidR="00BC315C" w:rsidRPr="00585685">
        <w:rPr>
          <w:rFonts w:ascii="Calibri" w:hAnsi="Calibri" w:cs="Calibri"/>
        </w:rPr>
        <w:t xml:space="preserve"> RCs and TOPs should be required to monitor, assess, communicate, and act on stability-related conditions in both real time and the lookahead operating horizon. This is not simply a need for more post-event data or improved offline studies. It is a need for enforceable operating capability, including oscillation detection and source location, damping and mode monitoring, voltage and angular stability assessment, dynamic security assessment, visibility of IBR/DER and large-load response, stability-triggered communications, and stability-focused operating plans. The standards framework must make stability awareness an expected part of real-time operations rather than an optional advanced application or a regional practice limited to entities that have already chosen to implement it.</w:t>
      </w:r>
    </w:p>
    <w:p w14:paraId="6A47FBB7" w14:textId="77E71B66" w:rsidR="00902475" w:rsidRPr="00372C6B" w:rsidRDefault="00BC315C" w:rsidP="00554A78">
      <w:pPr>
        <w:rPr>
          <w:rFonts w:ascii="Calibri" w:hAnsi="Calibri" w:cs="Calibri"/>
        </w:rPr>
      </w:pPr>
      <w:r w:rsidRPr="00322AAF">
        <w:rPr>
          <w:rFonts w:ascii="Calibri" w:hAnsi="Calibri" w:cs="Calibri"/>
        </w:rPr>
        <w:t xml:space="preserve">The central conclusion is that the next major </w:t>
      </w:r>
      <w:r w:rsidR="00206C53" w:rsidRPr="00206C53">
        <w:rPr>
          <w:rFonts w:ascii="Calibri" w:hAnsi="Calibri" w:cs="Calibri"/>
        </w:rPr>
        <w:t>blackout</w:t>
      </w:r>
      <w:r w:rsidRPr="00322AAF">
        <w:rPr>
          <w:rFonts w:ascii="Calibri" w:hAnsi="Calibri" w:cs="Calibri"/>
        </w:rPr>
        <w:t xml:space="preserve"> </w:t>
      </w:r>
      <w:r w:rsidR="00366651">
        <w:rPr>
          <w:rFonts w:ascii="Calibri" w:hAnsi="Calibri" w:cs="Calibri"/>
        </w:rPr>
        <w:t>will</w:t>
      </w:r>
      <w:r w:rsidRPr="00322AAF">
        <w:rPr>
          <w:rFonts w:ascii="Calibri" w:hAnsi="Calibri" w:cs="Calibri"/>
        </w:rPr>
        <w:t xml:space="preserve"> be driven by </w:t>
      </w:r>
      <w:r w:rsidR="00366651">
        <w:rPr>
          <w:rFonts w:ascii="Calibri" w:hAnsi="Calibri" w:cs="Calibri"/>
        </w:rPr>
        <w:t xml:space="preserve">complex </w:t>
      </w:r>
      <w:r w:rsidRPr="00322AAF">
        <w:rPr>
          <w:rFonts w:ascii="Calibri" w:hAnsi="Calibri" w:cs="Calibri"/>
        </w:rPr>
        <w:t>instability</w:t>
      </w:r>
      <w:r w:rsidR="00366651">
        <w:rPr>
          <w:rFonts w:ascii="Calibri" w:hAnsi="Calibri" w:cs="Calibri"/>
        </w:rPr>
        <w:t xml:space="preserve"> system</w:t>
      </w:r>
      <w:r w:rsidRPr="00322AAF">
        <w:rPr>
          <w:rFonts w:ascii="Calibri" w:hAnsi="Calibri" w:cs="Calibri"/>
        </w:rPr>
        <w:t xml:space="preserve"> behavior</w:t>
      </w:r>
      <w:r w:rsidR="00366651">
        <w:rPr>
          <w:rFonts w:ascii="Calibri" w:hAnsi="Calibri" w:cs="Calibri"/>
        </w:rPr>
        <w:t>s</w:t>
      </w:r>
      <w:r w:rsidRPr="00322AAF">
        <w:rPr>
          <w:rFonts w:ascii="Calibri" w:hAnsi="Calibri" w:cs="Calibri"/>
        </w:rPr>
        <w:t xml:space="preserve"> that are not apparent through conventional EMS monitoring alone. At present, North American Reliability Standards do not clearly and uniformly require applicable entities to:</w:t>
      </w:r>
    </w:p>
    <w:p w14:paraId="4F713C45" w14:textId="77777777" w:rsidR="00902475" w:rsidRPr="00372C6B" w:rsidRDefault="0088751E" w:rsidP="0088751E">
      <w:pPr>
        <w:pStyle w:val="ListParagraph"/>
        <w:numPr>
          <w:ilvl w:val="0"/>
          <w:numId w:val="3"/>
        </w:numPr>
        <w:rPr>
          <w:rFonts w:ascii="Calibri" w:hAnsi="Calibri" w:cs="Calibri"/>
        </w:rPr>
      </w:pPr>
      <w:r w:rsidRPr="0088751E">
        <w:rPr>
          <w:rFonts w:ascii="Calibri" w:hAnsi="Calibri" w:cs="Calibri"/>
        </w:rPr>
        <w:t>monitor oscillations, damping, voltage stability, angular stability, islanding, and large dynamic swings in the real-time operating horizon;</w:t>
      </w:r>
    </w:p>
    <w:p w14:paraId="334F5301" w14:textId="77777777" w:rsidR="00902475" w:rsidRPr="00372C6B" w:rsidRDefault="00CC576C" w:rsidP="00CC576C">
      <w:pPr>
        <w:pStyle w:val="ListParagraph"/>
        <w:numPr>
          <w:ilvl w:val="0"/>
          <w:numId w:val="3"/>
        </w:numPr>
        <w:rPr>
          <w:rFonts w:ascii="Calibri" w:hAnsi="Calibri" w:cs="Calibri"/>
        </w:rPr>
      </w:pPr>
      <w:r w:rsidRPr="00CC576C">
        <w:rPr>
          <w:rFonts w:ascii="Calibri" w:hAnsi="Calibri" w:cs="Calibri"/>
        </w:rPr>
        <w:lastRenderedPageBreak/>
        <w:t>perform lookahead stability analysis that reflects credible contingencies, IBR/DER behavior, RAS status, large-load response, voltage recovery, angular separation, and cascading risk; or</w:t>
      </w:r>
    </w:p>
    <w:p w14:paraId="6FA1AEA9" w14:textId="77777777" w:rsidR="00902475" w:rsidRPr="00372C6B" w:rsidRDefault="00830A5B" w:rsidP="00830A5B">
      <w:pPr>
        <w:pStyle w:val="ListParagraph"/>
        <w:numPr>
          <w:ilvl w:val="0"/>
          <w:numId w:val="3"/>
        </w:numPr>
        <w:rPr>
          <w:rFonts w:ascii="Calibri" w:hAnsi="Calibri" w:cs="Calibri"/>
        </w:rPr>
      </w:pPr>
      <w:r w:rsidRPr="00830A5B">
        <w:rPr>
          <w:rFonts w:ascii="Calibri" w:hAnsi="Calibri" w:cs="Calibri"/>
        </w:rPr>
        <w:t>maintain stability-focused operating plans and communications protocols that enable coordinated action when dynamic risk indicators emerge.</w:t>
      </w:r>
    </w:p>
    <w:p w14:paraId="0216D454" w14:textId="77777777" w:rsidR="00902475" w:rsidRPr="00372C6B" w:rsidRDefault="00043261" w:rsidP="008E0928">
      <w:pPr>
        <w:rPr>
          <w:rFonts w:ascii="Calibri" w:hAnsi="Calibri" w:cs="Calibri"/>
        </w:rPr>
      </w:pPr>
      <w:r w:rsidRPr="00043261">
        <w:rPr>
          <w:rFonts w:ascii="Calibri" w:hAnsi="Calibri" w:cs="Calibri"/>
        </w:rPr>
        <w:t>Utilities and system operators in other jurisdictions already rely on WAMS, PMUs, oscillation-monitoring applications, voltage stability tools, transient stability tools, and dynamic security assessment to support real-time operating decisions. The WECC IRO-002-7 regional variance also demonstrates that North American requirements can recognize the need for interconnection-wide dynamic monitoring, including inter-area oscillation monitoring and dynamic model validation. However, there is still no consistent continent-wide requirement for RCs and TOPs to maintain equivalent real-time and lookahead visibility into stability conditions.</w:t>
      </w:r>
    </w:p>
    <w:p w14:paraId="56481CB0" w14:textId="56871FA0" w:rsidR="00902475" w:rsidRPr="00372C6B" w:rsidRDefault="00BC315C" w:rsidP="00EA0CEE">
      <w:pPr>
        <w:rPr>
          <w:rFonts w:ascii="Calibri" w:hAnsi="Calibri" w:cs="Calibri"/>
        </w:rPr>
      </w:pPr>
      <w:r w:rsidRPr="00AE2C6C">
        <w:rPr>
          <w:rFonts w:ascii="Calibri" w:hAnsi="Calibri" w:cs="Calibri"/>
        </w:rPr>
        <w:t>This white paper therefore recommends advancing standards changes that close the Operations visibility gap. The objective is to ensure that RCs and TOPs have the tools, data, operating plans, communications, and evidence expectations needed to identify instability before it becomes an uncontrolled event. The required capability must include both real-time monitoring of the current operating point and lookahead analysis of credible future conditions. Anything less leaves the control room dependent on tools that may show the consequences of instability only after the system has already entered a cascading or uncontrolled state.</w:t>
      </w:r>
      <w:r w:rsidR="00AB68C1" w:rsidRPr="00AB68C1">
        <w:rPr>
          <w:rFonts w:ascii="Calibri" w:hAnsi="Calibri" w:cs="Calibri"/>
        </w:rPr>
        <w:t xml:space="preserve"> </w:t>
      </w:r>
      <w:r w:rsidR="00366651">
        <w:rPr>
          <w:rFonts w:ascii="Calibri" w:hAnsi="Calibri" w:cs="Calibri"/>
        </w:rPr>
        <w:t xml:space="preserve">The </w:t>
      </w:r>
      <w:r w:rsidR="00AB68C1" w:rsidRPr="00AB68C1">
        <w:rPr>
          <w:rFonts w:ascii="Calibri" w:hAnsi="Calibri" w:cs="Calibri"/>
        </w:rPr>
        <w:t>power system community is already responding through IBR, DER, computational load, disturbance monitoring, and ride-through initiatives, but the operating framework must now close the remaining visibility gap so that stability is actively monitored and managed before the next major blackout.</w:t>
      </w:r>
    </w:p>
    <w:p w14:paraId="4AA68045" w14:textId="67B9184F" w:rsidR="00902475" w:rsidRPr="00372C6B" w:rsidRDefault="00BC315C" w:rsidP="00AF0F0C">
      <w:pPr>
        <w:rPr>
          <w:rFonts w:ascii="Calibri" w:hAnsi="Calibri" w:cs="Calibri"/>
        </w:rPr>
      </w:pPr>
      <w:r w:rsidRPr="00941F7E">
        <w:rPr>
          <w:rFonts w:ascii="Calibri" w:hAnsi="Calibri" w:cs="Calibri"/>
        </w:rPr>
        <w:t xml:space="preserve">The remainder of this document is organized to support that recommendation. Section 3 reviews existing NERC Reliability Standards, identifies the gaps that prevent consistent real-time and lookahead stability monitoring, and explains how related efforts such as Project 2025-03 and Project 2026-02 support—but do not fully replace—the need for an explicit RTSM requirement. Section 4 provides conclusions and next steps, including the recommended standards strategy and implementation priorities. </w:t>
      </w:r>
      <w:r w:rsidR="00366651">
        <w:rPr>
          <w:rFonts w:ascii="Calibri" w:hAnsi="Calibri" w:cs="Calibri"/>
        </w:rPr>
        <w:t>Section 5 is a detailed r</w:t>
      </w:r>
      <w:r w:rsidR="00366651" w:rsidRPr="003C68D9">
        <w:rPr>
          <w:rFonts w:ascii="Calibri" w:hAnsi="Calibri" w:cs="Calibri"/>
        </w:rPr>
        <w:t xml:space="preserve">eferences section </w:t>
      </w:r>
      <w:r w:rsidR="00366651">
        <w:rPr>
          <w:rFonts w:ascii="Calibri" w:hAnsi="Calibri" w:cs="Calibri"/>
        </w:rPr>
        <w:t>that</w:t>
      </w:r>
      <w:r w:rsidR="00366651" w:rsidRPr="003C68D9">
        <w:rPr>
          <w:rFonts w:ascii="Calibri" w:hAnsi="Calibri" w:cs="Calibri"/>
        </w:rPr>
        <w:t xml:space="preserve"> provide</w:t>
      </w:r>
      <w:r w:rsidR="00366651">
        <w:rPr>
          <w:rFonts w:ascii="Calibri" w:hAnsi="Calibri" w:cs="Calibri"/>
        </w:rPr>
        <w:t>s</w:t>
      </w:r>
      <w:r w:rsidR="00366651" w:rsidRPr="003C68D9">
        <w:rPr>
          <w:rFonts w:ascii="Calibri" w:hAnsi="Calibri" w:cs="Calibri"/>
        </w:rPr>
        <w:t xml:space="preserve"> </w:t>
      </w:r>
      <w:r w:rsidR="00366651">
        <w:rPr>
          <w:rFonts w:ascii="Calibri" w:hAnsi="Calibri" w:cs="Calibri"/>
        </w:rPr>
        <w:t xml:space="preserve">summative information about references utilized in the paper. </w:t>
      </w:r>
      <w:r w:rsidRPr="00941F7E">
        <w:rPr>
          <w:rFonts w:ascii="Calibri" w:hAnsi="Calibri" w:cs="Calibri"/>
        </w:rPr>
        <w:t>Appendix A summarizes current practices in jurisdictions and operating environments that already use WAMS, PMUs, and stability applications to support operations. Appendix B reviews major system events and recent disturbances that demonstrate why oscillation monitoring, wide-area visibility, lookahead stability analysis, operating plans, and stability-triggered communications are necessary reliability capabilities.</w:t>
      </w:r>
      <w:r w:rsidR="003C68D9" w:rsidRPr="003C68D9">
        <w:rPr>
          <w:rFonts w:ascii="Calibri" w:hAnsi="Calibri" w:cs="Calibri"/>
        </w:rPr>
        <w:t xml:space="preserve"> </w:t>
      </w:r>
    </w:p>
    <w:p w14:paraId="781B2B22" w14:textId="77777777" w:rsidR="00524CB5" w:rsidRPr="00372C6B" w:rsidRDefault="00524CB5" w:rsidP="00810667">
      <w:pPr>
        <w:rPr>
          <w:rFonts w:ascii="Calibri" w:hAnsi="Calibri" w:cs="Calibri"/>
        </w:rPr>
      </w:pPr>
    </w:p>
    <w:p w14:paraId="29540619" w14:textId="77777777" w:rsidR="00902475" w:rsidRPr="00372C6B" w:rsidRDefault="00A94D67" w:rsidP="00A94D67">
      <w:pPr>
        <w:pStyle w:val="Heading1"/>
        <w:ind w:left="360" w:hanging="360"/>
        <w:rPr>
          <w:rFonts w:ascii="Calibri" w:hAnsi="Calibri" w:cs="Calibri"/>
        </w:rPr>
      </w:pPr>
      <w:bookmarkStart w:id="8" w:name="_Toc242948892"/>
      <w:r w:rsidRPr="00A94D67">
        <w:rPr>
          <w:rFonts w:ascii="Calibri" w:hAnsi="Calibri" w:cs="Calibri"/>
        </w:rPr>
        <w:lastRenderedPageBreak/>
        <w:t>3.</w:t>
      </w:r>
      <w:r w:rsidRPr="00A94D67">
        <w:rPr>
          <w:rFonts w:ascii="Times New Roman" w:hAnsi="Times New Roman"/>
          <w:sz w:val="14"/>
          <w:szCs w:val="14"/>
        </w:rPr>
        <w:t xml:space="preserve">  </w:t>
      </w:r>
      <w:r w:rsidR="00BC315C" w:rsidRPr="00372C6B">
        <w:rPr>
          <w:rFonts w:ascii="Calibri" w:hAnsi="Calibri" w:cs="Calibri"/>
        </w:rPr>
        <w:t>Review of Existing NERC Standards and Gaps</w:t>
      </w:r>
      <w:bookmarkEnd w:id="8"/>
      <w:r w:rsidR="00BC315C" w:rsidRPr="00372C6B">
        <w:rPr>
          <w:rFonts w:ascii="Calibri" w:hAnsi="Calibri" w:cs="Calibri"/>
        </w:rPr>
        <w:t xml:space="preserve"> </w:t>
      </w:r>
    </w:p>
    <w:p w14:paraId="0D675AD1" w14:textId="77777777" w:rsidR="00796598" w:rsidRPr="00372C6B" w:rsidRDefault="00796598" w:rsidP="00E45A62">
      <w:pPr>
        <w:pStyle w:val="ListParagraph"/>
        <w:spacing w:after="0" w:line="240" w:lineRule="auto"/>
        <w:rPr>
          <w:rFonts w:ascii="Calibri" w:eastAsia="MS Mincho" w:hAnsi="Calibri" w:cs="Calibri"/>
        </w:rPr>
      </w:pPr>
    </w:p>
    <w:p w14:paraId="7FF53391" w14:textId="47F5F5D3" w:rsidR="001077F9" w:rsidRPr="00372C6B" w:rsidRDefault="00DF10FA" w:rsidP="007554F5">
      <w:pPr>
        <w:pStyle w:val="ListParagraph"/>
        <w:ind w:left="0"/>
        <w:rPr>
          <w:rFonts w:ascii="Calibri" w:eastAsia="MS Mincho" w:hAnsi="Calibri" w:cs="Calibri"/>
          <w:b/>
          <w:bCs/>
        </w:rPr>
      </w:pPr>
      <w:r w:rsidRPr="00372C6B">
        <w:rPr>
          <w:rFonts w:ascii="Calibri" w:eastAsia="MS Mincho" w:hAnsi="Calibri" w:cs="Calibri"/>
          <w:b/>
          <w:bCs/>
        </w:rPr>
        <w:t>Why Standards for Real-Time Stability Monitoring Are Essential</w:t>
      </w:r>
    </w:p>
    <w:p w14:paraId="73BFFF95" w14:textId="77777777" w:rsidR="001077F9" w:rsidRPr="00372C6B" w:rsidRDefault="001077F9" w:rsidP="007554F5">
      <w:pPr>
        <w:pStyle w:val="ListParagraph"/>
        <w:ind w:left="0"/>
        <w:rPr>
          <w:rFonts w:ascii="Calibri" w:eastAsia="MS Mincho" w:hAnsi="Calibri" w:cs="Calibri"/>
        </w:rPr>
      </w:pPr>
    </w:p>
    <w:p w14:paraId="081C0B3E" w14:textId="6AA90093" w:rsidR="00DA298F" w:rsidRPr="00372C6B" w:rsidRDefault="00DA298F" w:rsidP="00DA298F">
      <w:pPr>
        <w:pStyle w:val="ListParagraph"/>
        <w:ind w:left="0"/>
        <w:rPr>
          <w:rFonts w:ascii="Calibri" w:eastAsia="MS Mincho" w:hAnsi="Calibri" w:cs="Calibri"/>
        </w:rPr>
      </w:pPr>
      <w:r w:rsidRPr="00372C6B">
        <w:rPr>
          <w:rFonts w:ascii="Calibri" w:eastAsia="MS Mincho" w:hAnsi="Calibri" w:cs="Calibri"/>
        </w:rPr>
        <w:t>Picture the North American power grid as a layered cake. Each layer adds strength and flavor, but if one is missing, the whole cake can collapse. At the base are today’s reliability rules, which include NERC standards for monitoring system conditions and setting operating limits. These form a solid foundation, yet they stop short of requiring continuous, real</w:t>
      </w:r>
      <w:r w:rsidRPr="00372C6B">
        <w:rPr>
          <w:rFonts w:ascii="Cambria Math" w:eastAsia="MS Mincho" w:hAnsi="Cambria Math" w:cs="Cambria Math"/>
        </w:rPr>
        <w:t>‑</w:t>
      </w:r>
      <w:r w:rsidRPr="00372C6B">
        <w:rPr>
          <w:rFonts w:ascii="Calibri" w:eastAsia="MS Mincho" w:hAnsi="Calibri" w:cs="Calibri"/>
        </w:rPr>
        <w:t>time checks on how stable the grid is at any given moment.</w:t>
      </w:r>
    </w:p>
    <w:p w14:paraId="3E8699D9" w14:textId="77777777" w:rsidR="00DA298F" w:rsidRPr="00372C6B" w:rsidRDefault="00DA298F" w:rsidP="00DA298F">
      <w:pPr>
        <w:pStyle w:val="ListParagraph"/>
        <w:ind w:left="0"/>
        <w:rPr>
          <w:rFonts w:ascii="Calibri" w:eastAsia="MS Mincho" w:hAnsi="Calibri" w:cs="Calibri"/>
        </w:rPr>
      </w:pPr>
    </w:p>
    <w:p w14:paraId="36E7F103" w14:textId="5D995FB6" w:rsidR="00DA298F" w:rsidRPr="00372C6B" w:rsidRDefault="00DA298F" w:rsidP="00DA298F">
      <w:pPr>
        <w:pStyle w:val="ListParagraph"/>
        <w:ind w:left="0"/>
        <w:rPr>
          <w:rFonts w:ascii="Calibri" w:eastAsia="MS Mincho" w:hAnsi="Calibri" w:cs="Calibri"/>
        </w:rPr>
      </w:pPr>
      <w:r w:rsidRPr="00372C6B">
        <w:rPr>
          <w:rFonts w:ascii="Calibri" w:eastAsia="MS Mincho" w:hAnsi="Calibri" w:cs="Calibri"/>
        </w:rPr>
        <w:t>Above that base are regional efforts, like extra requirements in the Western U.S., which add detail for monitoring, but only in certain areas. Another layer consists of industry research and global best practices, offering advanced tools for detecting oscillations and voltage issues before they escalate. These resources show what’s possible, but they aren’t mandatory.</w:t>
      </w:r>
    </w:p>
    <w:p w14:paraId="370D0D46" w14:textId="77777777" w:rsidR="00DA298F" w:rsidRPr="00372C6B" w:rsidRDefault="00DA298F" w:rsidP="00DA298F">
      <w:pPr>
        <w:pStyle w:val="ListParagraph"/>
        <w:ind w:left="0"/>
        <w:rPr>
          <w:rFonts w:ascii="Calibri" w:eastAsia="MS Mincho" w:hAnsi="Calibri" w:cs="Calibri"/>
        </w:rPr>
      </w:pPr>
    </w:p>
    <w:p w14:paraId="77232AE4" w14:textId="12D8E45F" w:rsidR="00DA298F" w:rsidRPr="00372C6B" w:rsidRDefault="00DA298F" w:rsidP="00DA298F">
      <w:pPr>
        <w:pStyle w:val="ListParagraph"/>
        <w:ind w:left="0"/>
        <w:rPr>
          <w:rFonts w:ascii="Calibri" w:eastAsia="MS Mincho" w:hAnsi="Calibri" w:cs="Calibri"/>
        </w:rPr>
      </w:pPr>
      <w:r w:rsidRPr="00372C6B">
        <w:rPr>
          <w:rFonts w:ascii="Calibri" w:eastAsia="MS Mincho" w:hAnsi="Calibri" w:cs="Calibri"/>
        </w:rPr>
        <w:t>Now consider the “recipe” for real</w:t>
      </w:r>
      <w:r w:rsidRPr="00372C6B">
        <w:rPr>
          <w:rFonts w:ascii="Cambria Math" w:eastAsia="MS Mincho" w:hAnsi="Cambria Math" w:cs="Cambria Math"/>
        </w:rPr>
        <w:t>‑</w:t>
      </w:r>
      <w:r w:rsidRPr="00372C6B">
        <w:rPr>
          <w:rFonts w:ascii="Calibri" w:eastAsia="MS Mincho" w:hAnsi="Calibri" w:cs="Calibri"/>
        </w:rPr>
        <w:t xml:space="preserve">time assessment, it’s scattered across multiple standards. One focuses on data quality, another on situational awareness, another on operator actions, and yet another on system modeling. Each provides important ingredients, but none delivers the </w:t>
      </w:r>
      <w:r w:rsidR="00F005AF" w:rsidRPr="00372C6B">
        <w:rPr>
          <w:rFonts w:ascii="Calibri" w:eastAsia="MS Mincho" w:hAnsi="Calibri" w:cs="Calibri"/>
        </w:rPr>
        <w:t>cake</w:t>
      </w:r>
      <w:r w:rsidRPr="00372C6B">
        <w:rPr>
          <w:rFonts w:ascii="Calibri" w:eastAsia="MS Mincho" w:hAnsi="Calibri" w:cs="Calibri"/>
        </w:rPr>
        <w:t xml:space="preserve"> on its own. Operators must piece together guidance from every layer just to keep the cake standing. Rather than a single recipe, real</w:t>
      </w:r>
      <w:r w:rsidRPr="00372C6B">
        <w:rPr>
          <w:rFonts w:ascii="Cambria Math" w:eastAsia="MS Mincho" w:hAnsi="Cambria Math" w:cs="Cambria Math"/>
        </w:rPr>
        <w:t>‑</w:t>
      </w:r>
      <w:r w:rsidRPr="00372C6B">
        <w:rPr>
          <w:rFonts w:ascii="Calibri" w:eastAsia="MS Mincho" w:hAnsi="Calibri" w:cs="Calibri"/>
        </w:rPr>
        <w:t>time assessment becomes a scavenger hunt for ingredients and instructions spread across multiple sources.</w:t>
      </w:r>
    </w:p>
    <w:p w14:paraId="0CD11F32" w14:textId="77777777" w:rsidR="00DA298F" w:rsidRPr="00372C6B" w:rsidRDefault="00DA298F" w:rsidP="00DA298F">
      <w:pPr>
        <w:pStyle w:val="ListParagraph"/>
        <w:ind w:left="0"/>
        <w:rPr>
          <w:rFonts w:ascii="Calibri" w:eastAsia="MS Mincho" w:hAnsi="Calibri" w:cs="Calibri"/>
        </w:rPr>
      </w:pPr>
    </w:p>
    <w:p w14:paraId="0EC1035F" w14:textId="673F64DD" w:rsidR="00DA298F" w:rsidRPr="00372C6B" w:rsidRDefault="00DA298F" w:rsidP="00DA298F">
      <w:pPr>
        <w:pStyle w:val="ListParagraph"/>
        <w:ind w:left="0"/>
        <w:rPr>
          <w:rFonts w:ascii="Calibri" w:eastAsia="MS Mincho" w:hAnsi="Calibri" w:cs="Calibri"/>
        </w:rPr>
      </w:pPr>
      <w:r w:rsidRPr="00372C6B">
        <w:rPr>
          <w:rFonts w:ascii="Calibri" w:eastAsia="MS Mincho" w:hAnsi="Calibri" w:cs="Calibri"/>
        </w:rPr>
        <w:t>The icing on the cake? New initiatives proposing to make real</w:t>
      </w:r>
      <w:r w:rsidRPr="00372C6B">
        <w:rPr>
          <w:rFonts w:ascii="Cambria Math" w:eastAsia="MS Mincho" w:hAnsi="Cambria Math" w:cs="Cambria Math"/>
        </w:rPr>
        <w:t>‑</w:t>
      </w:r>
      <w:r w:rsidRPr="00372C6B">
        <w:rPr>
          <w:rFonts w:ascii="Calibri" w:eastAsia="MS Mincho" w:hAnsi="Calibri" w:cs="Calibri"/>
        </w:rPr>
        <w:t>time stability monitoring a standard requirement everywhere</w:t>
      </w:r>
      <w:r w:rsidR="00E17F63" w:rsidRPr="00372C6B">
        <w:rPr>
          <w:rFonts w:ascii="Calibri" w:eastAsia="MS Mincho" w:hAnsi="Calibri" w:cs="Calibri"/>
        </w:rPr>
        <w:t xml:space="preserve"> in North America</w:t>
      </w:r>
      <w:r w:rsidRPr="00372C6B">
        <w:rPr>
          <w:rFonts w:ascii="Calibri" w:eastAsia="MS Mincho" w:hAnsi="Calibri" w:cs="Calibri"/>
        </w:rPr>
        <w:t>. These changes would ensure operators have the visibility they need to prevent major outages in an increasingly complex</w:t>
      </w:r>
      <w:r w:rsidR="00787AF4" w:rsidRPr="00372C6B">
        <w:rPr>
          <w:rFonts w:ascii="Calibri" w:eastAsia="MS Mincho" w:hAnsi="Calibri" w:cs="Calibri"/>
        </w:rPr>
        <w:t>, dynamic, interconnected and digitized</w:t>
      </w:r>
      <w:r w:rsidRPr="00372C6B">
        <w:rPr>
          <w:rFonts w:ascii="Calibri" w:eastAsia="MS Mincho" w:hAnsi="Calibri" w:cs="Calibri"/>
        </w:rPr>
        <w:t xml:space="preserve"> grid.</w:t>
      </w:r>
    </w:p>
    <w:p w14:paraId="41447210" w14:textId="77777777" w:rsidR="00DA298F" w:rsidRPr="00372C6B" w:rsidRDefault="00DA298F" w:rsidP="00DA298F">
      <w:pPr>
        <w:pStyle w:val="ListParagraph"/>
        <w:rPr>
          <w:rFonts w:ascii="Calibri" w:eastAsia="MS Mincho" w:hAnsi="Calibri" w:cs="Calibri"/>
        </w:rPr>
      </w:pPr>
    </w:p>
    <w:p w14:paraId="06E7C103" w14:textId="77777777" w:rsidR="005C0B12" w:rsidRPr="00372C6B" w:rsidRDefault="005C0B12" w:rsidP="005C0B12">
      <w:pPr>
        <w:pStyle w:val="ListParagraph"/>
        <w:ind w:left="0"/>
        <w:rPr>
          <w:rFonts w:ascii="Calibri" w:eastAsia="MS Mincho" w:hAnsi="Calibri" w:cs="Calibri"/>
          <w:b/>
          <w:bCs/>
        </w:rPr>
      </w:pPr>
      <w:r w:rsidRPr="00372C6B">
        <w:rPr>
          <w:rFonts w:ascii="Calibri" w:eastAsia="MS Mincho" w:hAnsi="Calibri" w:cs="Calibri"/>
          <w:b/>
          <w:bCs/>
        </w:rPr>
        <w:t>Current Standards on Real-Time Stability Monitoring and Where They Fall Short</w:t>
      </w:r>
    </w:p>
    <w:p w14:paraId="667A83F7" w14:textId="77777777" w:rsidR="004E03B7" w:rsidRPr="00372C6B" w:rsidRDefault="004E03B7" w:rsidP="00DA298F">
      <w:pPr>
        <w:pStyle w:val="ListParagraph"/>
        <w:ind w:left="0"/>
        <w:rPr>
          <w:rFonts w:ascii="Calibri" w:eastAsia="MS Mincho" w:hAnsi="Calibri" w:cs="Calibri"/>
          <w:b/>
          <w:bCs/>
        </w:rPr>
      </w:pPr>
    </w:p>
    <w:p w14:paraId="55843B55" w14:textId="590863BC" w:rsidR="00CB330E" w:rsidRPr="00372C6B" w:rsidRDefault="004E03B7" w:rsidP="004E03B7">
      <w:pPr>
        <w:pStyle w:val="ListParagraph"/>
        <w:ind w:left="0"/>
        <w:rPr>
          <w:rFonts w:ascii="Calibri" w:eastAsia="MS Mincho" w:hAnsi="Calibri" w:cs="Calibri"/>
        </w:rPr>
      </w:pPr>
      <w:r w:rsidRPr="00372C6B">
        <w:rPr>
          <w:rFonts w:ascii="Calibri" w:eastAsia="MS Mincho" w:hAnsi="Calibri" w:cs="Calibri"/>
        </w:rPr>
        <w:t xml:space="preserve">The reliability of the Bulk Electric System (BES) </w:t>
      </w:r>
      <w:r w:rsidR="00745CC6" w:rsidRPr="00372C6B">
        <w:rPr>
          <w:rFonts w:ascii="Calibri" w:eastAsia="MS Mincho" w:hAnsi="Calibri" w:cs="Calibri"/>
        </w:rPr>
        <w:t>depends on</w:t>
      </w:r>
      <w:r w:rsidRPr="00372C6B">
        <w:rPr>
          <w:rFonts w:ascii="Calibri" w:eastAsia="MS Mincho" w:hAnsi="Calibri" w:cs="Calibri"/>
        </w:rPr>
        <w:t xml:space="preserve"> monitoring </w:t>
      </w:r>
      <w:r w:rsidR="0060265C" w:rsidRPr="00372C6B">
        <w:rPr>
          <w:rFonts w:ascii="Calibri" w:eastAsia="MS Mincho" w:hAnsi="Calibri" w:cs="Calibri"/>
        </w:rPr>
        <w:t>grid stability as grid dynamics</w:t>
      </w:r>
      <w:r w:rsidRPr="00372C6B">
        <w:rPr>
          <w:rFonts w:ascii="Calibri" w:eastAsia="MS Mincho" w:hAnsi="Calibri" w:cs="Calibri"/>
        </w:rPr>
        <w:t xml:space="preserve"> </w:t>
      </w:r>
      <w:r w:rsidR="008F7D0E" w:rsidRPr="00372C6B">
        <w:rPr>
          <w:rFonts w:ascii="Calibri" w:eastAsia="MS Mincho" w:hAnsi="Calibri" w:cs="Calibri"/>
        </w:rPr>
        <w:t>change</w:t>
      </w:r>
      <w:r w:rsidR="003B5189" w:rsidRPr="00372C6B">
        <w:rPr>
          <w:rFonts w:ascii="Calibri" w:eastAsia="MS Mincho" w:hAnsi="Calibri" w:cs="Calibri"/>
        </w:rPr>
        <w:t>,</w:t>
      </w:r>
      <w:r w:rsidRPr="00372C6B">
        <w:rPr>
          <w:rFonts w:ascii="Calibri" w:eastAsia="MS Mincho" w:hAnsi="Calibri" w:cs="Calibri"/>
        </w:rPr>
        <w:t xml:space="preserve"> driven by high </w:t>
      </w:r>
      <w:r w:rsidR="00CB330E" w:rsidRPr="00372C6B">
        <w:rPr>
          <w:rFonts w:ascii="Calibri" w:eastAsia="MS Mincho" w:hAnsi="Calibri" w:cs="Calibri"/>
        </w:rPr>
        <w:t>levels</w:t>
      </w:r>
      <w:r w:rsidRPr="00372C6B">
        <w:rPr>
          <w:rFonts w:ascii="Calibri" w:eastAsia="MS Mincho" w:hAnsi="Calibri" w:cs="Calibri"/>
        </w:rPr>
        <w:t xml:space="preserve"> of IBRs, DERs</w:t>
      </w:r>
      <w:r w:rsidR="002B07B7" w:rsidRPr="00372C6B">
        <w:rPr>
          <w:rFonts w:ascii="Calibri" w:eastAsia="MS Mincho" w:hAnsi="Calibri" w:cs="Calibri"/>
        </w:rPr>
        <w:t xml:space="preserve"> and </w:t>
      </w:r>
      <w:r w:rsidR="001A178C" w:rsidRPr="00372C6B">
        <w:rPr>
          <w:rFonts w:ascii="Calibri" w:eastAsia="MS Mincho" w:hAnsi="Calibri" w:cs="Calibri"/>
        </w:rPr>
        <w:t>e</w:t>
      </w:r>
      <w:r w:rsidR="002B07B7" w:rsidRPr="00372C6B">
        <w:rPr>
          <w:rFonts w:ascii="Calibri" w:eastAsia="MS Mincho" w:hAnsi="Calibri" w:cs="Calibri"/>
        </w:rPr>
        <w:t xml:space="preserve">dge controlled </w:t>
      </w:r>
      <w:r w:rsidR="00F01E31" w:rsidRPr="00372C6B">
        <w:rPr>
          <w:rFonts w:ascii="Calibri" w:eastAsia="MS Mincho" w:hAnsi="Calibri" w:cs="Calibri"/>
        </w:rPr>
        <w:t>demand side response systems</w:t>
      </w:r>
      <w:r w:rsidRPr="00372C6B">
        <w:rPr>
          <w:rFonts w:ascii="Calibri" w:eastAsia="MS Mincho" w:hAnsi="Calibri" w:cs="Calibri"/>
        </w:rPr>
        <w:t>, declining system inertia</w:t>
      </w:r>
      <w:r w:rsidR="00C82FBD" w:rsidRPr="00372C6B">
        <w:rPr>
          <w:rFonts w:ascii="Calibri" w:eastAsia="MS Mincho" w:hAnsi="Calibri" w:cs="Calibri"/>
        </w:rPr>
        <w:t xml:space="preserve">, increased load demand, </w:t>
      </w:r>
      <w:r w:rsidR="00896AC1" w:rsidRPr="00372C6B">
        <w:rPr>
          <w:rFonts w:ascii="Calibri" w:eastAsia="MS Mincho" w:hAnsi="Calibri" w:cs="Calibri"/>
        </w:rPr>
        <w:t xml:space="preserve">increase in </w:t>
      </w:r>
      <w:r w:rsidR="00193E82" w:rsidRPr="00372C6B">
        <w:rPr>
          <w:rFonts w:ascii="Calibri" w:eastAsia="MS Mincho" w:hAnsi="Calibri" w:cs="Calibri"/>
        </w:rPr>
        <w:t xml:space="preserve">use of grid forming devices, </w:t>
      </w:r>
      <w:r w:rsidR="00C424CA" w:rsidRPr="00372C6B">
        <w:rPr>
          <w:rFonts w:ascii="Calibri" w:eastAsia="MS Mincho" w:hAnsi="Calibri" w:cs="Calibri"/>
        </w:rPr>
        <w:t xml:space="preserve">loss in overall frequency responsive generation, and </w:t>
      </w:r>
      <w:r w:rsidR="00896AC1" w:rsidRPr="00372C6B">
        <w:rPr>
          <w:rFonts w:ascii="Calibri" w:eastAsia="MS Mincho" w:hAnsi="Calibri" w:cs="Calibri"/>
        </w:rPr>
        <w:t>increase in large data centers</w:t>
      </w:r>
      <w:r w:rsidRPr="00372C6B">
        <w:rPr>
          <w:rFonts w:ascii="Calibri" w:eastAsia="MS Mincho" w:hAnsi="Calibri" w:cs="Calibri"/>
        </w:rPr>
        <w:t xml:space="preserve">. </w:t>
      </w:r>
    </w:p>
    <w:p w14:paraId="04D2A44C" w14:textId="77777777" w:rsidR="00CB330E" w:rsidRPr="00372C6B" w:rsidRDefault="00CB330E" w:rsidP="004E03B7">
      <w:pPr>
        <w:pStyle w:val="ListParagraph"/>
        <w:ind w:left="0"/>
        <w:rPr>
          <w:rFonts w:ascii="Calibri" w:eastAsia="MS Mincho" w:hAnsi="Calibri" w:cs="Calibri"/>
        </w:rPr>
      </w:pPr>
    </w:p>
    <w:p w14:paraId="7A6B1D3B" w14:textId="10B0C7F6" w:rsidR="001077F9" w:rsidRPr="00372C6B" w:rsidRDefault="007018F7" w:rsidP="004E03B7">
      <w:pPr>
        <w:pStyle w:val="ListParagraph"/>
        <w:ind w:left="0"/>
        <w:rPr>
          <w:rFonts w:ascii="Calibri" w:eastAsia="MS Mincho" w:hAnsi="Calibri" w:cs="Calibri"/>
        </w:rPr>
      </w:pPr>
      <w:r w:rsidRPr="00372C6B">
        <w:rPr>
          <w:rFonts w:ascii="Calibri" w:eastAsia="MS Mincho" w:hAnsi="Calibri" w:cs="Calibri"/>
        </w:rPr>
        <w:t>This section</w:t>
      </w:r>
      <w:r w:rsidR="004E03B7" w:rsidRPr="00372C6B">
        <w:rPr>
          <w:rFonts w:ascii="Calibri" w:eastAsia="MS Mincho" w:hAnsi="Calibri" w:cs="Calibri"/>
        </w:rPr>
        <w:t xml:space="preserve"> reviews current NERC standards and related resources </w:t>
      </w:r>
      <w:r w:rsidR="00CB330E" w:rsidRPr="00372C6B">
        <w:rPr>
          <w:rFonts w:ascii="Calibri" w:eastAsia="MS Mincho" w:hAnsi="Calibri" w:cs="Calibri"/>
        </w:rPr>
        <w:t>address</w:t>
      </w:r>
      <w:r w:rsidR="00E44C89" w:rsidRPr="00372C6B">
        <w:rPr>
          <w:rFonts w:ascii="Calibri" w:eastAsia="MS Mincho" w:hAnsi="Calibri" w:cs="Calibri"/>
        </w:rPr>
        <w:t>ing</w:t>
      </w:r>
      <w:r w:rsidR="004E03B7" w:rsidRPr="00372C6B">
        <w:rPr>
          <w:rFonts w:ascii="Calibri" w:eastAsia="MS Mincho" w:hAnsi="Calibri" w:cs="Calibri"/>
        </w:rPr>
        <w:t xml:space="preserve"> real-time </w:t>
      </w:r>
      <w:r w:rsidR="00CB330E" w:rsidRPr="00372C6B">
        <w:rPr>
          <w:rFonts w:ascii="Calibri" w:eastAsia="MS Mincho" w:hAnsi="Calibri" w:cs="Calibri"/>
        </w:rPr>
        <w:t xml:space="preserve">stability and </w:t>
      </w:r>
      <w:r w:rsidR="004E03B7" w:rsidRPr="00372C6B">
        <w:rPr>
          <w:rFonts w:ascii="Calibri" w:eastAsia="MS Mincho" w:hAnsi="Calibri" w:cs="Calibri"/>
        </w:rPr>
        <w:t>oscillation</w:t>
      </w:r>
      <w:r w:rsidR="00CB330E" w:rsidRPr="00372C6B">
        <w:rPr>
          <w:rFonts w:ascii="Calibri" w:eastAsia="MS Mincho" w:hAnsi="Calibri" w:cs="Calibri"/>
        </w:rPr>
        <w:t xml:space="preserve"> monitoring</w:t>
      </w:r>
      <w:r w:rsidR="00E44C89" w:rsidRPr="00372C6B">
        <w:rPr>
          <w:rFonts w:ascii="Calibri" w:eastAsia="MS Mincho" w:hAnsi="Calibri" w:cs="Calibri"/>
        </w:rPr>
        <w:t>,</w:t>
      </w:r>
      <w:r w:rsidR="004E03B7" w:rsidRPr="00372C6B">
        <w:rPr>
          <w:rFonts w:ascii="Calibri" w:eastAsia="MS Mincho" w:hAnsi="Calibri" w:cs="Calibri"/>
        </w:rPr>
        <w:t xml:space="preserve"> identifies </w:t>
      </w:r>
      <w:r w:rsidR="00CB330E" w:rsidRPr="00372C6B">
        <w:rPr>
          <w:rFonts w:ascii="Calibri" w:eastAsia="MS Mincho" w:hAnsi="Calibri" w:cs="Calibri"/>
        </w:rPr>
        <w:t>gaps</w:t>
      </w:r>
      <w:r w:rsidR="00E44C89" w:rsidRPr="00372C6B">
        <w:rPr>
          <w:rFonts w:ascii="Calibri" w:eastAsia="MS Mincho" w:hAnsi="Calibri" w:cs="Calibri"/>
        </w:rPr>
        <w:t>,</w:t>
      </w:r>
      <w:r w:rsidR="00CB330E" w:rsidRPr="00372C6B">
        <w:rPr>
          <w:rFonts w:ascii="Calibri" w:eastAsia="MS Mincho" w:hAnsi="Calibri" w:cs="Calibri"/>
        </w:rPr>
        <w:t xml:space="preserve"> and</w:t>
      </w:r>
      <w:r w:rsidR="004E03B7" w:rsidRPr="00372C6B">
        <w:rPr>
          <w:rFonts w:ascii="Calibri" w:eastAsia="MS Mincho" w:hAnsi="Calibri" w:cs="Calibri"/>
        </w:rPr>
        <w:t xml:space="preserve"> highlights ongoing initiatives.</w:t>
      </w:r>
      <w:r w:rsidR="00CB330E" w:rsidRPr="00372C6B">
        <w:rPr>
          <w:rFonts w:ascii="Calibri" w:eastAsia="MS Mincho" w:hAnsi="Calibri" w:cs="Calibri"/>
        </w:rPr>
        <w:t xml:space="preserve"> </w:t>
      </w:r>
      <w:r w:rsidR="004E03B7" w:rsidRPr="00372C6B">
        <w:rPr>
          <w:rFonts w:ascii="Calibri" w:eastAsia="MS Mincho" w:hAnsi="Calibri" w:cs="Calibri"/>
        </w:rPr>
        <w:t xml:space="preserve">The </w:t>
      </w:r>
      <w:r w:rsidR="00CB330E" w:rsidRPr="00372C6B">
        <w:rPr>
          <w:rFonts w:ascii="Calibri" w:eastAsia="MS Mincho" w:hAnsi="Calibri" w:cs="Calibri"/>
        </w:rPr>
        <w:t>main finding</w:t>
      </w:r>
      <w:r w:rsidR="004E03B7" w:rsidRPr="00372C6B">
        <w:rPr>
          <w:rFonts w:ascii="Calibri" w:eastAsia="MS Mincho" w:hAnsi="Calibri" w:cs="Calibri"/>
        </w:rPr>
        <w:t xml:space="preserve">, while many </w:t>
      </w:r>
      <w:r w:rsidR="00CB330E" w:rsidRPr="00372C6B">
        <w:rPr>
          <w:rFonts w:ascii="Calibri" w:eastAsia="MS Mincho" w:hAnsi="Calibri" w:cs="Calibri"/>
        </w:rPr>
        <w:t>standards</w:t>
      </w:r>
      <w:r w:rsidR="004E03B7" w:rsidRPr="00372C6B">
        <w:rPr>
          <w:rFonts w:ascii="Calibri" w:eastAsia="MS Mincho" w:hAnsi="Calibri" w:cs="Calibri"/>
        </w:rPr>
        <w:t xml:space="preserve"> support reliability, none explicitly require continuous monitoring of </w:t>
      </w:r>
      <w:r w:rsidR="004E03B7" w:rsidRPr="00372C6B">
        <w:rPr>
          <w:rFonts w:ascii="Calibri" w:eastAsia="MS Mincho" w:hAnsi="Calibri" w:cs="Calibri"/>
        </w:rPr>
        <w:lastRenderedPageBreak/>
        <w:t xml:space="preserve">stability and oscillations. This </w:t>
      </w:r>
      <w:r w:rsidR="00CB330E" w:rsidRPr="00372C6B">
        <w:rPr>
          <w:rFonts w:ascii="Calibri" w:eastAsia="MS Mincho" w:hAnsi="Calibri" w:cs="Calibri"/>
        </w:rPr>
        <w:t>gap shows</w:t>
      </w:r>
      <w:r w:rsidR="004E03B7" w:rsidRPr="00372C6B">
        <w:rPr>
          <w:rFonts w:ascii="Calibri" w:eastAsia="MS Mincho" w:hAnsi="Calibri" w:cs="Calibri"/>
        </w:rPr>
        <w:t xml:space="preserve"> why new standards are urgently needed to </w:t>
      </w:r>
      <w:r w:rsidR="00CB330E" w:rsidRPr="00372C6B">
        <w:rPr>
          <w:rFonts w:ascii="Calibri" w:eastAsia="MS Mincho" w:hAnsi="Calibri" w:cs="Calibri"/>
        </w:rPr>
        <w:t>give</w:t>
      </w:r>
      <w:r w:rsidR="004E03B7" w:rsidRPr="00372C6B">
        <w:rPr>
          <w:rFonts w:ascii="Calibri" w:eastAsia="MS Mincho" w:hAnsi="Calibri" w:cs="Calibri"/>
        </w:rPr>
        <w:t xml:space="preserve"> operators the visibility required to prevent major outages.</w:t>
      </w:r>
    </w:p>
    <w:p w14:paraId="369D6DC2" w14:textId="77777777" w:rsidR="001077F9" w:rsidRPr="00372C6B" w:rsidRDefault="001077F9" w:rsidP="007554F5">
      <w:pPr>
        <w:pStyle w:val="ListParagraph"/>
        <w:ind w:left="0"/>
        <w:rPr>
          <w:rFonts w:ascii="Calibri" w:eastAsia="MS Mincho" w:hAnsi="Calibri" w:cs="Calibri"/>
          <w:b/>
          <w:bCs/>
        </w:rPr>
      </w:pPr>
    </w:p>
    <w:p w14:paraId="0195C140" w14:textId="71433709" w:rsidR="00444130" w:rsidRPr="00372C6B" w:rsidRDefault="00444130" w:rsidP="007554F5">
      <w:pPr>
        <w:pStyle w:val="ListParagraph"/>
        <w:ind w:left="0"/>
        <w:rPr>
          <w:rFonts w:ascii="Calibri" w:eastAsia="MS Mincho" w:hAnsi="Calibri" w:cs="Calibri"/>
        </w:rPr>
      </w:pPr>
      <w:r w:rsidRPr="00372C6B">
        <w:rPr>
          <w:rFonts w:ascii="Calibri" w:eastAsia="MS Mincho" w:hAnsi="Calibri" w:cs="Calibri"/>
        </w:rPr>
        <w:t xml:space="preserve">Several NERC Reliability Standards </w:t>
      </w:r>
      <w:r w:rsidR="0095260D" w:rsidRPr="00372C6B">
        <w:rPr>
          <w:rFonts w:ascii="Calibri" w:eastAsia="MS Mincho" w:hAnsi="Calibri" w:cs="Calibri"/>
        </w:rPr>
        <w:t>support</w:t>
      </w:r>
      <w:r w:rsidRPr="00372C6B">
        <w:rPr>
          <w:rFonts w:ascii="Calibri" w:eastAsia="MS Mincho" w:hAnsi="Calibri" w:cs="Calibri"/>
        </w:rPr>
        <w:t xml:space="preserve"> situational awareness and operational security, but none </w:t>
      </w:r>
      <w:r w:rsidR="004B660F" w:rsidRPr="00372C6B">
        <w:rPr>
          <w:rFonts w:ascii="Calibri" w:eastAsia="MS Mincho" w:hAnsi="Calibri" w:cs="Calibri"/>
        </w:rPr>
        <w:t>mandate</w:t>
      </w:r>
      <w:r w:rsidRPr="00372C6B">
        <w:rPr>
          <w:rFonts w:ascii="Calibri" w:eastAsia="MS Mincho" w:hAnsi="Calibri" w:cs="Calibri"/>
        </w:rPr>
        <w:t xml:space="preserve"> continuous real-time stability monitoring. Instead,</w:t>
      </w:r>
      <w:r w:rsidR="004B660F" w:rsidRPr="00372C6B">
        <w:rPr>
          <w:rFonts w:ascii="Calibri" w:eastAsia="MS Mincho" w:hAnsi="Calibri" w:cs="Calibri"/>
        </w:rPr>
        <w:t xml:space="preserve"> </w:t>
      </w:r>
      <w:r w:rsidRPr="00372C6B">
        <w:rPr>
          <w:rFonts w:ascii="Calibri" w:eastAsia="MS Mincho" w:hAnsi="Calibri" w:cs="Calibri"/>
        </w:rPr>
        <w:t xml:space="preserve">requirements are </w:t>
      </w:r>
      <w:r w:rsidR="004B660F" w:rsidRPr="00372C6B">
        <w:rPr>
          <w:rFonts w:ascii="Calibri" w:eastAsia="MS Mincho" w:hAnsi="Calibri" w:cs="Calibri"/>
        </w:rPr>
        <w:t>spread</w:t>
      </w:r>
      <w:r w:rsidRPr="00372C6B">
        <w:rPr>
          <w:rFonts w:ascii="Calibri" w:eastAsia="MS Mincho" w:hAnsi="Calibri" w:cs="Calibri"/>
        </w:rPr>
        <w:t xml:space="preserve"> across </w:t>
      </w:r>
      <w:r w:rsidR="008458F5" w:rsidRPr="00372C6B">
        <w:rPr>
          <w:rFonts w:ascii="Calibri" w:eastAsia="MS Mincho" w:hAnsi="Calibri" w:cs="Calibri"/>
        </w:rPr>
        <w:t xml:space="preserve">multiple </w:t>
      </w:r>
      <w:r w:rsidR="00447048" w:rsidRPr="00372C6B">
        <w:rPr>
          <w:rFonts w:ascii="Calibri" w:eastAsia="MS Mincho" w:hAnsi="Calibri" w:cs="Calibri"/>
        </w:rPr>
        <w:t xml:space="preserve">standards and </w:t>
      </w:r>
      <w:r w:rsidR="00A30449" w:rsidRPr="00372C6B">
        <w:rPr>
          <w:rFonts w:ascii="Calibri" w:eastAsia="MS Mincho" w:hAnsi="Calibri" w:cs="Calibri"/>
        </w:rPr>
        <w:t>functional</w:t>
      </w:r>
      <w:r w:rsidR="008458F5" w:rsidRPr="00372C6B">
        <w:rPr>
          <w:rFonts w:ascii="Calibri" w:eastAsia="MS Mincho" w:hAnsi="Calibri" w:cs="Calibri"/>
        </w:rPr>
        <w:t xml:space="preserve"> </w:t>
      </w:r>
      <w:r w:rsidRPr="00372C6B">
        <w:rPr>
          <w:rFonts w:ascii="Calibri" w:eastAsia="MS Mincho" w:hAnsi="Calibri" w:cs="Calibri"/>
        </w:rPr>
        <w:t>areas</w:t>
      </w:r>
      <w:r w:rsidR="0095260D" w:rsidRPr="00372C6B">
        <w:rPr>
          <w:rFonts w:ascii="Calibri" w:eastAsia="MS Mincho" w:hAnsi="Calibri" w:cs="Calibri"/>
        </w:rPr>
        <w:t xml:space="preserve"> </w:t>
      </w:r>
      <w:r w:rsidR="00447048" w:rsidRPr="00372C6B">
        <w:rPr>
          <w:rFonts w:ascii="Calibri" w:eastAsia="MS Mincho" w:hAnsi="Calibri" w:cs="Calibri"/>
        </w:rPr>
        <w:t>related to</w:t>
      </w:r>
      <w:r w:rsidRPr="00372C6B">
        <w:rPr>
          <w:rFonts w:ascii="Calibri" w:eastAsia="MS Mincho" w:hAnsi="Calibri" w:cs="Calibri"/>
        </w:rPr>
        <w:t>:</w:t>
      </w:r>
    </w:p>
    <w:p w14:paraId="4EFABE73" w14:textId="77777777" w:rsidR="00F3012A" w:rsidRPr="00372C6B" w:rsidRDefault="00F3012A">
      <w:pPr>
        <w:pStyle w:val="ListParagraph"/>
        <w:numPr>
          <w:ilvl w:val="0"/>
          <w:numId w:val="10"/>
        </w:numPr>
        <w:rPr>
          <w:rFonts w:ascii="Calibri" w:eastAsia="MS Mincho" w:hAnsi="Calibri" w:cs="Calibri"/>
        </w:rPr>
      </w:pPr>
      <w:r w:rsidRPr="00372C6B">
        <w:rPr>
          <w:rFonts w:ascii="Calibri" w:eastAsia="MS Mincho" w:hAnsi="Calibri" w:cs="Calibri"/>
        </w:rPr>
        <w:t>Real-Time Stability and Oscillation Monitoring</w:t>
      </w:r>
    </w:p>
    <w:p w14:paraId="04691301" w14:textId="2A3CED9B" w:rsidR="00F3012A" w:rsidRPr="00372C6B" w:rsidRDefault="00F3012A">
      <w:pPr>
        <w:pStyle w:val="ListParagraph"/>
        <w:numPr>
          <w:ilvl w:val="0"/>
          <w:numId w:val="10"/>
        </w:numPr>
        <w:rPr>
          <w:rFonts w:ascii="Calibri" w:eastAsia="MS Mincho" w:hAnsi="Calibri" w:cs="Calibri"/>
        </w:rPr>
      </w:pPr>
      <w:r w:rsidRPr="00372C6B">
        <w:rPr>
          <w:rFonts w:ascii="Calibri" w:eastAsia="MS Mincho" w:hAnsi="Calibri" w:cs="Calibri"/>
        </w:rPr>
        <w:t>System Operating Limit (SOL) Assessment</w:t>
      </w:r>
      <w:r w:rsidR="00E43ED5" w:rsidRPr="00372C6B">
        <w:rPr>
          <w:rFonts w:ascii="Calibri" w:eastAsia="MS Mincho" w:hAnsi="Calibri" w:cs="Calibri"/>
        </w:rPr>
        <w:t>s</w:t>
      </w:r>
    </w:p>
    <w:p w14:paraId="4E0ABCF1" w14:textId="77777777" w:rsidR="00F3012A" w:rsidRPr="00372C6B" w:rsidRDefault="00F3012A">
      <w:pPr>
        <w:pStyle w:val="ListParagraph"/>
        <w:numPr>
          <w:ilvl w:val="0"/>
          <w:numId w:val="10"/>
        </w:numPr>
        <w:rPr>
          <w:rFonts w:ascii="Calibri" w:eastAsia="MS Mincho" w:hAnsi="Calibri" w:cs="Calibri"/>
        </w:rPr>
      </w:pPr>
      <w:r w:rsidRPr="00372C6B">
        <w:rPr>
          <w:rFonts w:ascii="Calibri" w:eastAsia="MS Mincho" w:hAnsi="Calibri" w:cs="Calibri"/>
        </w:rPr>
        <w:t>Interconnection Reliability Operating Limits (IROLs)</w:t>
      </w:r>
    </w:p>
    <w:p w14:paraId="0CFF5081" w14:textId="77777777" w:rsidR="00F3012A" w:rsidRPr="00372C6B" w:rsidRDefault="00F3012A">
      <w:pPr>
        <w:pStyle w:val="ListParagraph"/>
        <w:numPr>
          <w:ilvl w:val="0"/>
          <w:numId w:val="10"/>
        </w:numPr>
        <w:rPr>
          <w:rFonts w:ascii="Calibri" w:eastAsia="MS Mincho" w:hAnsi="Calibri" w:cs="Calibri"/>
        </w:rPr>
      </w:pPr>
      <w:r w:rsidRPr="00372C6B">
        <w:rPr>
          <w:rFonts w:ascii="Calibri" w:eastAsia="MS Mincho" w:hAnsi="Calibri" w:cs="Calibri"/>
        </w:rPr>
        <w:t>Cascading and Uncontrolled Separation</w:t>
      </w:r>
    </w:p>
    <w:p w14:paraId="39C02E5E" w14:textId="77777777" w:rsidR="00F3012A" w:rsidRPr="00372C6B" w:rsidRDefault="00F3012A">
      <w:pPr>
        <w:pStyle w:val="ListParagraph"/>
        <w:numPr>
          <w:ilvl w:val="0"/>
          <w:numId w:val="10"/>
        </w:numPr>
        <w:rPr>
          <w:rFonts w:ascii="Calibri" w:eastAsia="MS Mincho" w:hAnsi="Calibri" w:cs="Calibri"/>
        </w:rPr>
      </w:pPr>
      <w:r w:rsidRPr="00372C6B">
        <w:rPr>
          <w:rFonts w:ascii="Calibri" w:eastAsia="MS Mincho" w:hAnsi="Calibri" w:cs="Calibri"/>
        </w:rPr>
        <w:t>Oscillation Damping and Control</w:t>
      </w:r>
    </w:p>
    <w:p w14:paraId="34F0086C" w14:textId="77777777" w:rsidR="00F3012A" w:rsidRPr="00372C6B" w:rsidRDefault="00F3012A">
      <w:pPr>
        <w:pStyle w:val="ListParagraph"/>
        <w:numPr>
          <w:ilvl w:val="0"/>
          <w:numId w:val="10"/>
        </w:numPr>
        <w:rPr>
          <w:rFonts w:ascii="Calibri" w:eastAsia="MS Mincho" w:hAnsi="Calibri" w:cs="Calibri"/>
        </w:rPr>
      </w:pPr>
      <w:r w:rsidRPr="00372C6B">
        <w:rPr>
          <w:rFonts w:ascii="Calibri" w:eastAsia="MS Mincho" w:hAnsi="Calibri" w:cs="Calibri"/>
        </w:rPr>
        <w:t>Operating Plans</w:t>
      </w:r>
    </w:p>
    <w:p w14:paraId="00410C53" w14:textId="47CB3792" w:rsidR="00A84D66" w:rsidRPr="00372C6B" w:rsidRDefault="00A84D66">
      <w:pPr>
        <w:pStyle w:val="ListParagraph"/>
        <w:numPr>
          <w:ilvl w:val="0"/>
          <w:numId w:val="10"/>
        </w:numPr>
        <w:rPr>
          <w:rFonts w:ascii="Calibri" w:eastAsia="MS Mincho" w:hAnsi="Calibri" w:cs="Calibri"/>
        </w:rPr>
      </w:pPr>
      <w:r w:rsidRPr="00372C6B">
        <w:rPr>
          <w:rFonts w:ascii="Calibri" w:eastAsia="MS Mincho" w:hAnsi="Calibri" w:cs="Calibri"/>
        </w:rPr>
        <w:t>Communication</w:t>
      </w:r>
    </w:p>
    <w:p w14:paraId="2BF600C7" w14:textId="77777777" w:rsidR="008B0574" w:rsidRPr="00372C6B" w:rsidRDefault="008B0574" w:rsidP="007554F5">
      <w:pPr>
        <w:pStyle w:val="ListParagraph"/>
        <w:ind w:left="0"/>
        <w:rPr>
          <w:rFonts w:ascii="Calibri" w:eastAsia="MS Mincho" w:hAnsi="Calibri" w:cs="Calibri"/>
        </w:rPr>
      </w:pPr>
    </w:p>
    <w:p w14:paraId="3CAC26E6" w14:textId="764A2106" w:rsidR="006D6FC3" w:rsidRPr="00372C6B" w:rsidRDefault="00444130" w:rsidP="007554F5">
      <w:pPr>
        <w:rPr>
          <w:rFonts w:ascii="Calibri" w:eastAsia="MS Mincho" w:hAnsi="Calibri" w:cs="Calibri"/>
        </w:rPr>
      </w:pPr>
      <w:r w:rsidRPr="00372C6B">
        <w:rPr>
          <w:rFonts w:ascii="Calibri" w:eastAsia="MS Mincho" w:hAnsi="Calibri" w:cs="Calibri"/>
        </w:rPr>
        <w:t xml:space="preserve">These </w:t>
      </w:r>
      <w:r w:rsidR="00D22C94" w:rsidRPr="00372C6B">
        <w:rPr>
          <w:rFonts w:ascii="Calibri" w:eastAsia="MS Mincho" w:hAnsi="Calibri" w:cs="Calibri"/>
        </w:rPr>
        <w:t xml:space="preserve">functional areas </w:t>
      </w:r>
      <w:r w:rsidRPr="00372C6B">
        <w:rPr>
          <w:rFonts w:ascii="Calibri" w:eastAsia="MS Mincho" w:hAnsi="Calibri" w:cs="Calibri"/>
        </w:rPr>
        <w:t xml:space="preserve">provide important building blocks for </w:t>
      </w:r>
      <w:r w:rsidR="00ED635D" w:rsidRPr="00372C6B">
        <w:rPr>
          <w:rFonts w:ascii="Calibri" w:eastAsia="MS Mincho" w:hAnsi="Calibri" w:cs="Calibri"/>
        </w:rPr>
        <w:t>reliability</w:t>
      </w:r>
      <w:r w:rsidR="00D22C94" w:rsidRPr="00372C6B">
        <w:rPr>
          <w:rFonts w:ascii="Calibri" w:eastAsia="MS Mincho" w:hAnsi="Calibri" w:cs="Calibri"/>
        </w:rPr>
        <w:t>,</w:t>
      </w:r>
      <w:r w:rsidR="00ED635D" w:rsidRPr="00372C6B">
        <w:rPr>
          <w:rFonts w:ascii="Calibri" w:eastAsia="MS Mincho" w:hAnsi="Calibri" w:cs="Calibri"/>
        </w:rPr>
        <w:t xml:space="preserve"> but</w:t>
      </w:r>
      <w:r w:rsidRPr="00372C6B">
        <w:rPr>
          <w:rFonts w:ascii="Calibri" w:eastAsia="MS Mincho" w:hAnsi="Calibri" w:cs="Calibri"/>
        </w:rPr>
        <w:t xml:space="preserve"> </w:t>
      </w:r>
      <w:r w:rsidR="00E44C89" w:rsidRPr="00372C6B">
        <w:rPr>
          <w:rFonts w:ascii="Calibri" w:eastAsia="MS Mincho" w:hAnsi="Calibri" w:cs="Calibri"/>
        </w:rPr>
        <w:t>do not ensure</w:t>
      </w:r>
      <w:r w:rsidRPr="00372C6B">
        <w:rPr>
          <w:rFonts w:ascii="Calibri" w:eastAsia="MS Mincho" w:hAnsi="Calibri" w:cs="Calibri"/>
        </w:rPr>
        <w:t xml:space="preserve"> continuous visibility into system stability. This section introduces key areas, </w:t>
      </w:r>
      <w:r w:rsidR="00127C3F" w:rsidRPr="00372C6B">
        <w:rPr>
          <w:rFonts w:ascii="Calibri" w:eastAsia="MS Mincho" w:hAnsi="Calibri" w:cs="Calibri"/>
        </w:rPr>
        <w:t>outlines</w:t>
      </w:r>
      <w:r w:rsidRPr="00372C6B">
        <w:rPr>
          <w:rFonts w:ascii="Calibri" w:eastAsia="MS Mincho" w:hAnsi="Calibri" w:cs="Calibri"/>
        </w:rPr>
        <w:t xml:space="preserve"> gaps and emerging concerns, reviews the </w:t>
      </w:r>
      <w:r w:rsidR="00BA6816" w:rsidRPr="00372C6B">
        <w:rPr>
          <w:rFonts w:ascii="Calibri" w:eastAsia="MS Mincho" w:hAnsi="Calibri" w:cs="Calibri"/>
        </w:rPr>
        <w:t>Western Electricity Coordinating Council (</w:t>
      </w:r>
      <w:r w:rsidRPr="00372C6B">
        <w:rPr>
          <w:rFonts w:ascii="Calibri" w:eastAsia="MS Mincho" w:hAnsi="Calibri" w:cs="Calibri"/>
        </w:rPr>
        <w:t>WECC</w:t>
      </w:r>
      <w:r w:rsidR="009352E0" w:rsidRPr="00372C6B">
        <w:rPr>
          <w:rFonts w:ascii="Calibri" w:eastAsia="MS Mincho" w:hAnsi="Calibri" w:cs="Calibri"/>
        </w:rPr>
        <w:t>)</w:t>
      </w:r>
      <w:r w:rsidRPr="00372C6B">
        <w:rPr>
          <w:rFonts w:ascii="Calibri" w:eastAsia="MS Mincho" w:hAnsi="Calibri" w:cs="Calibri"/>
        </w:rPr>
        <w:t xml:space="preserve"> regional variance under IRO</w:t>
      </w:r>
      <w:r w:rsidRPr="00372C6B">
        <w:rPr>
          <w:rFonts w:ascii="Cambria Math" w:eastAsia="MS Mincho" w:hAnsi="Cambria Math" w:cs="Cambria Math"/>
        </w:rPr>
        <w:t>‑</w:t>
      </w:r>
      <w:r w:rsidRPr="00372C6B">
        <w:rPr>
          <w:rFonts w:ascii="Calibri" w:eastAsia="MS Mincho" w:hAnsi="Calibri" w:cs="Calibri"/>
        </w:rPr>
        <w:t>002</w:t>
      </w:r>
      <w:r w:rsidRPr="00372C6B">
        <w:rPr>
          <w:rFonts w:ascii="Cambria Math" w:eastAsia="MS Mincho" w:hAnsi="Cambria Math" w:cs="Cambria Math"/>
        </w:rPr>
        <w:t>‑</w:t>
      </w:r>
      <w:r w:rsidRPr="00372C6B">
        <w:rPr>
          <w:rFonts w:ascii="Calibri" w:eastAsia="MS Mincho" w:hAnsi="Calibri" w:cs="Calibri"/>
        </w:rPr>
        <w:t xml:space="preserve">7 (Reliability Coordination – Monitoring and Analysis), and highlights NERC initiatives aimed at addressing these challenges. </w:t>
      </w:r>
      <w:r w:rsidR="004F6459" w:rsidRPr="00372C6B">
        <w:rPr>
          <w:rFonts w:ascii="Calibri" w:eastAsia="MS Mincho" w:hAnsi="Calibri" w:cs="Calibri"/>
        </w:rPr>
        <w:t>R</w:t>
      </w:r>
      <w:r w:rsidR="006D6FC3" w:rsidRPr="00372C6B">
        <w:rPr>
          <w:rFonts w:ascii="Calibri" w:eastAsia="MS Mincho" w:hAnsi="Calibri" w:cs="Calibri"/>
        </w:rPr>
        <w:t xml:space="preserve">elated </w:t>
      </w:r>
      <w:r w:rsidR="00447048" w:rsidRPr="00372C6B">
        <w:rPr>
          <w:rFonts w:ascii="Calibri" w:eastAsia="MS Mincho" w:hAnsi="Calibri" w:cs="Calibri"/>
        </w:rPr>
        <w:t xml:space="preserve">resources </w:t>
      </w:r>
      <w:r w:rsidR="004F6459" w:rsidRPr="00372C6B">
        <w:rPr>
          <w:rFonts w:ascii="Calibri" w:eastAsia="MS Mincho" w:hAnsi="Calibri" w:cs="Calibri"/>
        </w:rPr>
        <w:t xml:space="preserve">are </w:t>
      </w:r>
      <w:r w:rsidR="006D6FC3" w:rsidRPr="00372C6B">
        <w:rPr>
          <w:rFonts w:ascii="Calibri" w:eastAsia="MS Mincho" w:hAnsi="Calibri" w:cs="Calibri"/>
        </w:rPr>
        <w:t xml:space="preserve">summarized in </w:t>
      </w:r>
      <w:r w:rsidR="002302CA">
        <w:rPr>
          <w:rFonts w:ascii="Calibri" w:eastAsia="MS Mincho" w:hAnsi="Calibri" w:cs="Calibri"/>
        </w:rPr>
        <w:t>Section </w:t>
      </w:r>
      <w:r w:rsidR="002302CA">
        <w:rPr>
          <w:rFonts w:ascii="Calibri" w:eastAsia="MS Mincho" w:hAnsi="Calibri" w:cs="Calibri"/>
        </w:rPr>
        <w:fldChar w:fldCharType="begin"/>
      </w:r>
      <w:r w:rsidR="002302CA">
        <w:rPr>
          <w:rFonts w:ascii="Calibri" w:eastAsia="MS Mincho" w:hAnsi="Calibri" w:cs="Calibri"/>
        </w:rPr>
        <w:instrText xml:space="preserve"> REF _Ref234438598 \r \h </w:instrText>
      </w:r>
      <w:r w:rsidR="002302CA">
        <w:rPr>
          <w:rFonts w:ascii="Calibri" w:eastAsia="MS Mincho" w:hAnsi="Calibri" w:cs="Calibri"/>
        </w:rPr>
      </w:r>
      <w:r w:rsidR="002302CA">
        <w:rPr>
          <w:rFonts w:ascii="Calibri" w:eastAsia="MS Mincho" w:hAnsi="Calibri" w:cs="Calibri"/>
        </w:rPr>
        <w:fldChar w:fldCharType="separate"/>
      </w:r>
      <w:r w:rsidR="002302CA">
        <w:rPr>
          <w:rFonts w:ascii="Calibri" w:eastAsia="MS Mincho" w:hAnsi="Calibri" w:cs="Calibri"/>
        </w:rPr>
        <w:t>5</w:t>
      </w:r>
      <w:r w:rsidR="002302CA">
        <w:rPr>
          <w:rFonts w:ascii="Calibri" w:eastAsia="MS Mincho" w:hAnsi="Calibri" w:cs="Calibri"/>
        </w:rPr>
        <w:fldChar w:fldCharType="end"/>
      </w:r>
      <w:r w:rsidR="006D6FC3" w:rsidRPr="00372C6B">
        <w:rPr>
          <w:rFonts w:ascii="Calibri" w:eastAsia="MS Mincho" w:hAnsi="Calibri" w:cs="Calibri"/>
        </w:rPr>
        <w:t>.</w:t>
      </w:r>
    </w:p>
    <w:p w14:paraId="71B8B1C5" w14:textId="77777777" w:rsidR="00534DD3" w:rsidRPr="00372C6B" w:rsidRDefault="00534DD3" w:rsidP="007554F5">
      <w:pPr>
        <w:rPr>
          <w:rFonts w:ascii="Calibri" w:eastAsia="MS Mincho" w:hAnsi="Calibri" w:cs="Calibri"/>
          <w:b/>
          <w:bCs/>
        </w:rPr>
      </w:pPr>
    </w:p>
    <w:p w14:paraId="07D7B056" w14:textId="5F322518" w:rsidR="0063709C" w:rsidRPr="00372C6B" w:rsidRDefault="006D7B9D" w:rsidP="007554F5">
      <w:pPr>
        <w:rPr>
          <w:rFonts w:ascii="Calibri" w:eastAsia="MS Mincho" w:hAnsi="Calibri" w:cs="Calibri"/>
          <w:b/>
          <w:bCs/>
        </w:rPr>
      </w:pPr>
      <w:r w:rsidRPr="00372C6B">
        <w:rPr>
          <w:rFonts w:ascii="Calibri" w:eastAsia="MS Mincho" w:hAnsi="Calibri" w:cs="Calibri"/>
          <w:b/>
          <w:bCs/>
        </w:rPr>
        <w:t xml:space="preserve">Key </w:t>
      </w:r>
      <w:r w:rsidR="00EA4E59" w:rsidRPr="00372C6B">
        <w:rPr>
          <w:rFonts w:ascii="Calibri" w:eastAsia="MS Mincho" w:hAnsi="Calibri" w:cs="Calibri"/>
          <w:b/>
          <w:bCs/>
        </w:rPr>
        <w:t xml:space="preserve">Standards </w:t>
      </w:r>
      <w:r w:rsidRPr="00372C6B">
        <w:rPr>
          <w:rFonts w:ascii="Calibri" w:eastAsia="MS Mincho" w:hAnsi="Calibri" w:cs="Calibri"/>
          <w:b/>
          <w:bCs/>
        </w:rPr>
        <w:t xml:space="preserve">and </w:t>
      </w:r>
      <w:r w:rsidR="00042A2C" w:rsidRPr="00372C6B">
        <w:rPr>
          <w:rFonts w:ascii="Calibri" w:eastAsia="MS Mincho" w:hAnsi="Calibri" w:cs="Calibri"/>
          <w:b/>
          <w:bCs/>
        </w:rPr>
        <w:t xml:space="preserve">Their Connection </w:t>
      </w:r>
      <w:r w:rsidR="00642DE1" w:rsidRPr="00372C6B">
        <w:rPr>
          <w:rFonts w:ascii="Calibri" w:eastAsia="MS Mincho" w:hAnsi="Calibri" w:cs="Calibri"/>
          <w:b/>
          <w:bCs/>
        </w:rPr>
        <w:t>to Real</w:t>
      </w:r>
      <w:r w:rsidRPr="00372C6B">
        <w:rPr>
          <w:rFonts w:ascii="Cambria Math" w:eastAsia="MS Mincho" w:hAnsi="Cambria Math" w:cs="Cambria Math"/>
          <w:b/>
          <w:bCs/>
        </w:rPr>
        <w:t>‑</w:t>
      </w:r>
      <w:r w:rsidR="00042A2C" w:rsidRPr="00372C6B">
        <w:rPr>
          <w:rFonts w:ascii="Calibri" w:eastAsia="MS Mincho" w:hAnsi="Calibri" w:cs="Calibri"/>
          <w:b/>
          <w:bCs/>
        </w:rPr>
        <w:t>T</w:t>
      </w:r>
      <w:r w:rsidRPr="00372C6B">
        <w:rPr>
          <w:rFonts w:ascii="Calibri" w:eastAsia="MS Mincho" w:hAnsi="Calibri" w:cs="Calibri"/>
          <w:b/>
          <w:bCs/>
        </w:rPr>
        <w:t xml:space="preserve">ime </w:t>
      </w:r>
      <w:r w:rsidR="00042A2C" w:rsidRPr="00372C6B">
        <w:rPr>
          <w:rFonts w:ascii="Calibri" w:eastAsia="MS Mincho" w:hAnsi="Calibri" w:cs="Calibri"/>
          <w:b/>
          <w:bCs/>
        </w:rPr>
        <w:t>S</w:t>
      </w:r>
      <w:r w:rsidRPr="00372C6B">
        <w:rPr>
          <w:rFonts w:ascii="Calibri" w:eastAsia="MS Mincho" w:hAnsi="Calibri" w:cs="Calibri"/>
          <w:b/>
          <w:bCs/>
        </w:rPr>
        <w:t>tability</w:t>
      </w:r>
      <w:r w:rsidR="00A37948" w:rsidRPr="00372C6B">
        <w:rPr>
          <w:rStyle w:val="FootnoteReference"/>
          <w:rFonts w:ascii="Calibri" w:eastAsia="MS Mincho" w:hAnsi="Calibri" w:cs="Calibri"/>
          <w:b/>
          <w:bCs/>
        </w:rPr>
        <w:footnoteReference w:id="2"/>
      </w:r>
      <w:r w:rsidRPr="00372C6B">
        <w:rPr>
          <w:rFonts w:ascii="Calibri" w:eastAsia="MS Mincho" w:hAnsi="Calibri" w:cs="Calibri"/>
          <w:b/>
          <w:bCs/>
        </w:rPr>
        <w:t xml:space="preserve"> </w:t>
      </w:r>
    </w:p>
    <w:p w14:paraId="271B8EF0" w14:textId="7260253A" w:rsidR="00106102" w:rsidRPr="00372C6B" w:rsidRDefault="00106102">
      <w:pPr>
        <w:pStyle w:val="ListParagraph"/>
        <w:numPr>
          <w:ilvl w:val="0"/>
          <w:numId w:val="11"/>
        </w:numPr>
        <w:rPr>
          <w:rFonts w:ascii="Calibri" w:eastAsia="MS Mincho" w:hAnsi="Calibri" w:cs="Calibri"/>
        </w:rPr>
      </w:pPr>
      <w:r w:rsidRPr="00372C6B">
        <w:rPr>
          <w:rFonts w:ascii="Calibri" w:eastAsia="MS Mincho" w:hAnsi="Calibri" w:cs="Calibri"/>
          <w:b/>
          <w:bCs/>
        </w:rPr>
        <w:t>Disturbance Control Performance (BAL-002-3)</w:t>
      </w:r>
      <w:r w:rsidRPr="00372C6B">
        <w:rPr>
          <w:rFonts w:ascii="Calibri" w:eastAsia="MS Mincho" w:hAnsi="Calibri" w:cs="Calibri"/>
        </w:rPr>
        <w:t xml:space="preserve">: </w:t>
      </w:r>
      <w:r w:rsidR="007F46A1" w:rsidRPr="00372C6B">
        <w:rPr>
          <w:rFonts w:ascii="Calibri" w:eastAsia="MS Mincho" w:hAnsi="Calibri" w:cs="Calibri"/>
        </w:rPr>
        <w:t>Focuses</w:t>
      </w:r>
      <w:r w:rsidR="00300BE2" w:rsidRPr="00372C6B">
        <w:rPr>
          <w:rFonts w:ascii="Calibri" w:eastAsia="MS Mincho" w:hAnsi="Calibri" w:cs="Calibri"/>
        </w:rPr>
        <w:t xml:space="preserve"> on keeping the power system stable after a major event by making sure there are enough backup reserves and that they are used quickly. </w:t>
      </w:r>
      <w:r w:rsidR="001C4AE6" w:rsidRPr="00372C6B">
        <w:rPr>
          <w:rFonts w:ascii="Calibri" w:eastAsia="MS Mincho" w:hAnsi="Calibri" w:cs="Calibri"/>
        </w:rPr>
        <w:t>This helps maintain system balance and reduces the risk of widespread outages or sections of the grid becoming isolated</w:t>
      </w:r>
      <w:r w:rsidR="00300BE2" w:rsidRPr="00372C6B">
        <w:rPr>
          <w:rFonts w:ascii="Calibri" w:eastAsia="MS Mincho" w:hAnsi="Calibri" w:cs="Calibri"/>
        </w:rPr>
        <w:t xml:space="preserve">. While this standard is important for restoring stability after a disturbance, it doesn’t cover things like checking system limits (SOLs and IROLs), </w:t>
      </w:r>
      <w:r w:rsidR="34D9811A" w:rsidRPr="00372C6B">
        <w:rPr>
          <w:rFonts w:ascii="Calibri" w:eastAsia="MS Mincho" w:hAnsi="Calibri" w:cs="Calibri"/>
        </w:rPr>
        <w:t>monitoring</w:t>
      </w:r>
      <w:r w:rsidR="00300BE2" w:rsidRPr="00372C6B">
        <w:rPr>
          <w:rFonts w:ascii="Calibri" w:eastAsia="MS Mincho" w:hAnsi="Calibri" w:cs="Calibri"/>
        </w:rPr>
        <w:t xml:space="preserve"> oscillations, or continuously tracking real-time stability. It also doesn’t require ongoing monitoring or control of oscillations.</w:t>
      </w:r>
      <w:r w:rsidR="00B7453E" w:rsidRPr="00372C6B">
        <w:rPr>
          <w:rFonts w:ascii="Calibri" w:eastAsia="MS Mincho" w:hAnsi="Calibri" w:cs="Calibri"/>
        </w:rPr>
        <w:t xml:space="preserve"> Focus Area(s): </w:t>
      </w:r>
      <w:r w:rsidR="00922913" w:rsidRPr="00372C6B">
        <w:rPr>
          <w:rFonts w:ascii="Calibri" w:eastAsia="MS Mincho" w:hAnsi="Calibri" w:cs="Calibri"/>
        </w:rPr>
        <w:t>Disturbance Control and Contingency Reserve</w:t>
      </w:r>
      <w:r w:rsidR="0012359A" w:rsidRPr="00372C6B">
        <w:rPr>
          <w:rFonts w:ascii="Calibri" w:eastAsia="MS Mincho" w:hAnsi="Calibri" w:cs="Calibri"/>
        </w:rPr>
        <w:t>.</w:t>
      </w:r>
    </w:p>
    <w:p w14:paraId="658DF9C1" w14:textId="0F9FEE94" w:rsidR="00BE700A" w:rsidRPr="00372C6B" w:rsidRDefault="00BE700A">
      <w:pPr>
        <w:pStyle w:val="ListParagraph"/>
        <w:numPr>
          <w:ilvl w:val="0"/>
          <w:numId w:val="11"/>
        </w:numPr>
        <w:rPr>
          <w:rFonts w:ascii="Calibri" w:eastAsia="MS Mincho" w:hAnsi="Calibri" w:cs="Calibri"/>
        </w:rPr>
      </w:pPr>
      <w:r w:rsidRPr="00372C6B">
        <w:rPr>
          <w:rFonts w:ascii="Calibri" w:eastAsia="MS Mincho" w:hAnsi="Calibri" w:cs="Calibri"/>
          <w:b/>
          <w:bCs/>
        </w:rPr>
        <w:t>Near-term Energy Reliability Assessments (BAL-007-1)</w:t>
      </w:r>
      <w:r w:rsidRPr="00372C6B">
        <w:rPr>
          <w:rFonts w:ascii="Calibri" w:eastAsia="MS Mincho" w:hAnsi="Calibri" w:cs="Calibri"/>
        </w:rPr>
        <w:t>:</w:t>
      </w:r>
      <w:r w:rsidRPr="00372C6B">
        <w:rPr>
          <w:rFonts w:ascii="Calibri" w:hAnsi="Calibri" w:cs="Calibri"/>
        </w:rPr>
        <w:t xml:space="preserve"> Requires BA’s to assess near-term energy adequacy by eval</w:t>
      </w:r>
      <w:r w:rsidRPr="00372C6B">
        <w:rPr>
          <w:rFonts w:ascii="Calibri" w:eastAsia="MS Mincho" w:hAnsi="Calibri" w:cs="Calibri"/>
        </w:rPr>
        <w:t xml:space="preserve">uating </w:t>
      </w:r>
      <w:r w:rsidR="00224BB5" w:rsidRPr="00372C6B">
        <w:rPr>
          <w:rFonts w:ascii="Calibri" w:eastAsia="MS Mincho" w:hAnsi="Calibri" w:cs="Calibri"/>
        </w:rPr>
        <w:t xml:space="preserve">forecasted demand, resource and fuel availability, </w:t>
      </w:r>
      <w:r w:rsidR="00224BB5" w:rsidRPr="00372C6B">
        <w:rPr>
          <w:rFonts w:ascii="Calibri" w:eastAsia="MS Mincho" w:hAnsi="Calibri" w:cs="Calibri"/>
        </w:rPr>
        <w:lastRenderedPageBreak/>
        <w:t>energy transfers, and transmission constraints to mitigate the risk of energy emergencies.  While it does not mandate real</w:t>
      </w:r>
      <w:r w:rsidR="00224BB5" w:rsidRPr="00372C6B">
        <w:rPr>
          <w:rFonts w:ascii="Cambria Math" w:eastAsia="MS Mincho" w:hAnsi="Cambria Math" w:cs="Cambria Math"/>
        </w:rPr>
        <w:t>‑</w:t>
      </w:r>
      <w:r w:rsidR="00224BB5" w:rsidRPr="00372C6B">
        <w:rPr>
          <w:rFonts w:ascii="Calibri" w:eastAsia="MS Mincho" w:hAnsi="Calibri" w:cs="Calibri"/>
        </w:rPr>
        <w:t>time stability monitoring, it supports reliability by improving pre</w:t>
      </w:r>
      <w:r w:rsidR="00224BB5" w:rsidRPr="00372C6B">
        <w:rPr>
          <w:rFonts w:ascii="Cambria Math" w:eastAsia="MS Mincho" w:hAnsi="Cambria Math" w:cs="Cambria Math"/>
        </w:rPr>
        <w:t>‑</w:t>
      </w:r>
      <w:r w:rsidR="00224BB5" w:rsidRPr="00372C6B">
        <w:rPr>
          <w:rFonts w:ascii="Calibri" w:eastAsia="MS Mincho" w:hAnsi="Calibri" w:cs="Calibri"/>
        </w:rPr>
        <w:t>operational awareness of conditions that could affect system stability, complementing broader industry efforts to introduce explicit real</w:t>
      </w:r>
      <w:r w:rsidR="00224BB5" w:rsidRPr="00372C6B">
        <w:rPr>
          <w:rFonts w:ascii="Cambria Math" w:eastAsia="MS Mincho" w:hAnsi="Cambria Math" w:cs="Cambria Math"/>
        </w:rPr>
        <w:t>‑</w:t>
      </w:r>
      <w:r w:rsidR="00224BB5" w:rsidRPr="00372C6B">
        <w:rPr>
          <w:rFonts w:ascii="Calibri" w:eastAsia="MS Mincho" w:hAnsi="Calibri" w:cs="Calibri"/>
        </w:rPr>
        <w:t>time stability monitoring requirements</w:t>
      </w:r>
      <w:r w:rsidRPr="00372C6B">
        <w:rPr>
          <w:rFonts w:ascii="Calibri" w:eastAsia="MS Mincho" w:hAnsi="Calibri" w:cs="Calibri"/>
        </w:rPr>
        <w:t>.</w:t>
      </w:r>
      <w:r w:rsidR="00087D0E" w:rsidRPr="00372C6B">
        <w:rPr>
          <w:rFonts w:ascii="Calibri" w:eastAsia="MS Mincho" w:hAnsi="Calibri" w:cs="Calibri"/>
        </w:rPr>
        <w:t xml:space="preserve"> Focus Area(s): </w:t>
      </w:r>
      <w:r w:rsidR="00FA4117" w:rsidRPr="00372C6B">
        <w:rPr>
          <w:rFonts w:ascii="Calibri" w:eastAsia="MS Mincho" w:hAnsi="Calibri" w:cs="Calibri"/>
        </w:rPr>
        <w:t>Energy Reliability.</w:t>
      </w:r>
    </w:p>
    <w:p w14:paraId="188192D7" w14:textId="3FF999CC"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Cyber Security — BES Cyber System Categorization</w:t>
      </w:r>
      <w:r w:rsidR="00B428B6" w:rsidRPr="00372C6B">
        <w:rPr>
          <w:rFonts w:ascii="Calibri" w:eastAsia="MS Mincho" w:hAnsi="Calibri" w:cs="Calibri"/>
          <w:b/>
          <w:bCs/>
        </w:rPr>
        <w:t xml:space="preserve"> (CIP-002-8)</w:t>
      </w:r>
      <w:r w:rsidR="00B428B6" w:rsidRPr="00372C6B">
        <w:rPr>
          <w:rFonts w:ascii="Calibri" w:eastAsia="MS Mincho" w:hAnsi="Calibri" w:cs="Calibri"/>
        </w:rPr>
        <w:t>:</w:t>
      </w:r>
      <w:r w:rsidR="00106102" w:rsidRPr="00372C6B">
        <w:rPr>
          <w:rFonts w:ascii="Calibri" w:eastAsia="MS Mincho" w:hAnsi="Calibri" w:cs="Calibri"/>
        </w:rPr>
        <w:t xml:space="preserve"> Categorizes critical cyber assets, indirectly reducing cascading risk by protecting essential control systems from cyber threats</w:t>
      </w:r>
      <w:r w:rsidR="006D54DE" w:rsidRPr="00372C6B">
        <w:rPr>
          <w:rFonts w:ascii="Calibri" w:eastAsia="MS Mincho" w:hAnsi="Calibri" w:cs="Calibri"/>
        </w:rPr>
        <w:t xml:space="preserve"> and supporting overall system reliability</w:t>
      </w:r>
      <w:r w:rsidR="00106102" w:rsidRPr="00372C6B">
        <w:rPr>
          <w:rFonts w:ascii="Calibri" w:eastAsia="MS Mincho" w:hAnsi="Calibri" w:cs="Calibri"/>
        </w:rPr>
        <w:t>.</w:t>
      </w:r>
      <w:r w:rsidR="001F35F8" w:rsidRPr="00372C6B">
        <w:rPr>
          <w:rFonts w:ascii="Calibri" w:eastAsia="MS Mincho" w:hAnsi="Calibri" w:cs="Calibri"/>
        </w:rPr>
        <w:t xml:space="preserve"> Focus Area(s): Cyber Security.</w:t>
      </w:r>
    </w:p>
    <w:p w14:paraId="69BBDD13" w14:textId="5FA01DA4"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Physical Security</w:t>
      </w:r>
      <w:r w:rsidR="00B428B6" w:rsidRPr="00372C6B">
        <w:rPr>
          <w:rFonts w:ascii="Calibri" w:eastAsia="MS Mincho" w:hAnsi="Calibri" w:cs="Calibri"/>
        </w:rPr>
        <w:t xml:space="preserve"> </w:t>
      </w:r>
      <w:r w:rsidR="00B428B6" w:rsidRPr="00372C6B">
        <w:rPr>
          <w:rFonts w:ascii="Calibri" w:eastAsia="MS Mincho" w:hAnsi="Calibri" w:cs="Calibri"/>
          <w:b/>
          <w:bCs/>
        </w:rPr>
        <w:t>(CIP-014-3)</w:t>
      </w:r>
      <w:r w:rsidR="00B428B6" w:rsidRPr="00372C6B">
        <w:rPr>
          <w:rFonts w:ascii="Calibri" w:eastAsia="MS Mincho" w:hAnsi="Calibri" w:cs="Calibri"/>
        </w:rPr>
        <w:t>:</w:t>
      </w:r>
      <w:r w:rsidR="00106102" w:rsidRPr="00372C6B">
        <w:rPr>
          <w:rFonts w:ascii="Calibri" w:eastAsia="MS Mincho" w:hAnsi="Calibri" w:cs="Calibri"/>
        </w:rPr>
        <w:t xml:space="preserve"> Requires physical security for critical facilities, indirectly preventing cascading outages caused by physical attacks</w:t>
      </w:r>
      <w:r w:rsidR="005B0993" w:rsidRPr="00372C6B">
        <w:rPr>
          <w:rFonts w:ascii="Calibri" w:eastAsia="MS Mincho" w:hAnsi="Calibri" w:cs="Calibri"/>
        </w:rPr>
        <w:t xml:space="preserve"> and supporting overall system reliability</w:t>
      </w:r>
      <w:r w:rsidR="00106102" w:rsidRPr="00372C6B">
        <w:rPr>
          <w:rFonts w:ascii="Calibri" w:eastAsia="MS Mincho" w:hAnsi="Calibri" w:cs="Calibri"/>
        </w:rPr>
        <w:t>.</w:t>
      </w:r>
      <w:r w:rsidR="001F35F8" w:rsidRPr="00372C6B">
        <w:rPr>
          <w:rFonts w:ascii="Calibri" w:eastAsia="MS Mincho" w:hAnsi="Calibri" w:cs="Calibri"/>
        </w:rPr>
        <w:t xml:space="preserve"> Focus Area(s): Physical Security.</w:t>
      </w:r>
    </w:p>
    <w:p w14:paraId="3AE8F38A" w14:textId="3CB5BC95"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Event Reporting</w:t>
      </w:r>
      <w:r w:rsidR="00B428B6" w:rsidRPr="00372C6B">
        <w:rPr>
          <w:rFonts w:ascii="Calibri" w:eastAsia="MS Mincho" w:hAnsi="Calibri" w:cs="Calibri"/>
        </w:rPr>
        <w:t xml:space="preserve"> </w:t>
      </w:r>
      <w:r w:rsidR="00B428B6" w:rsidRPr="00372C6B">
        <w:rPr>
          <w:rFonts w:ascii="Calibri" w:eastAsia="MS Mincho" w:hAnsi="Calibri" w:cs="Calibri"/>
          <w:b/>
          <w:bCs/>
        </w:rPr>
        <w:t>(EOP-004-4)</w:t>
      </w:r>
      <w:r w:rsidR="00B428B6" w:rsidRPr="00372C6B">
        <w:rPr>
          <w:rFonts w:ascii="Calibri" w:eastAsia="MS Mincho" w:hAnsi="Calibri" w:cs="Calibri"/>
        </w:rPr>
        <w:t>:</w:t>
      </w:r>
      <w:r w:rsidR="00106102" w:rsidRPr="00372C6B">
        <w:rPr>
          <w:rFonts w:ascii="Calibri" w:eastAsia="MS Mincho" w:hAnsi="Calibri" w:cs="Calibri"/>
        </w:rPr>
        <w:t xml:space="preserve"> Mandates reporting of significant events, indirectly supporting cascading prevention through lessons learned and improved processes.</w:t>
      </w:r>
      <w:r w:rsidR="001F35F8" w:rsidRPr="00372C6B">
        <w:rPr>
          <w:rFonts w:ascii="Calibri" w:eastAsia="MS Mincho" w:hAnsi="Calibri" w:cs="Calibri"/>
        </w:rPr>
        <w:t xml:space="preserve"> Focus Area(s): Event Reporting.</w:t>
      </w:r>
    </w:p>
    <w:p w14:paraId="66D53BB8" w14:textId="62AFE14B" w:rsidR="00E06FF0"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System Restoration Coordination</w:t>
      </w:r>
      <w:r w:rsidR="00B428B6" w:rsidRPr="00372C6B">
        <w:rPr>
          <w:rFonts w:ascii="Calibri" w:eastAsia="MS Mincho" w:hAnsi="Calibri" w:cs="Calibri"/>
        </w:rPr>
        <w:t xml:space="preserve"> </w:t>
      </w:r>
      <w:r w:rsidR="00B428B6" w:rsidRPr="00372C6B">
        <w:rPr>
          <w:rFonts w:ascii="Calibri" w:eastAsia="MS Mincho" w:hAnsi="Calibri" w:cs="Calibri"/>
          <w:b/>
          <w:bCs/>
        </w:rPr>
        <w:t>(EOP-006-3</w:t>
      </w:r>
      <w:r w:rsidRPr="00372C6B">
        <w:rPr>
          <w:rFonts w:ascii="Calibri" w:eastAsia="MS Mincho" w:hAnsi="Calibri" w:cs="Calibri"/>
          <w:b/>
          <w:bCs/>
        </w:rPr>
        <w:t>)</w:t>
      </w:r>
      <w:r w:rsidR="00B428B6" w:rsidRPr="00372C6B">
        <w:rPr>
          <w:rFonts w:ascii="Calibri" w:eastAsia="MS Mincho" w:hAnsi="Calibri" w:cs="Calibri"/>
        </w:rPr>
        <w:t>:</w:t>
      </w:r>
      <w:r w:rsidR="00106102" w:rsidRPr="00372C6B">
        <w:rPr>
          <w:rFonts w:ascii="Calibri" w:eastAsia="MS Mincho" w:hAnsi="Calibri" w:cs="Calibri"/>
        </w:rPr>
        <w:t xml:space="preserve"> </w:t>
      </w:r>
      <w:r w:rsidR="00E06FF0" w:rsidRPr="00372C6B">
        <w:rPr>
          <w:rFonts w:ascii="Calibri" w:eastAsia="MS Mincho" w:hAnsi="Calibri" w:cs="Calibri"/>
        </w:rPr>
        <w:t>Requires the development and coordination of restoration plans, ensuring the system can recover after major disturbances and indirectly reducing the risk of uncontrolled separation. These provisions also support operating plans by maintaining readiness for system restoration following significant events.</w:t>
      </w:r>
      <w:r w:rsidR="001F35F8" w:rsidRPr="00372C6B">
        <w:rPr>
          <w:rFonts w:ascii="Calibri" w:eastAsia="MS Mincho" w:hAnsi="Calibri" w:cs="Calibri"/>
        </w:rPr>
        <w:t xml:space="preserve"> Focus Area(s): System Restoration.</w:t>
      </w:r>
    </w:p>
    <w:p w14:paraId="78719EB6" w14:textId="2704D0FB"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Emergency Operations</w:t>
      </w:r>
      <w:r w:rsidR="00B428B6" w:rsidRPr="00372C6B">
        <w:rPr>
          <w:rFonts w:ascii="Calibri" w:eastAsia="MS Mincho" w:hAnsi="Calibri" w:cs="Calibri"/>
        </w:rPr>
        <w:t xml:space="preserve"> </w:t>
      </w:r>
      <w:r w:rsidR="00B428B6" w:rsidRPr="00372C6B">
        <w:rPr>
          <w:rFonts w:ascii="Calibri" w:eastAsia="MS Mincho" w:hAnsi="Calibri" w:cs="Calibri"/>
          <w:b/>
          <w:bCs/>
        </w:rPr>
        <w:t>(EOP-011-4)</w:t>
      </w:r>
      <w:r w:rsidR="00B428B6" w:rsidRPr="00372C6B">
        <w:rPr>
          <w:rFonts w:ascii="Calibri" w:eastAsia="MS Mincho" w:hAnsi="Calibri" w:cs="Calibri"/>
        </w:rPr>
        <w:t>:</w:t>
      </w:r>
      <w:r w:rsidR="00106102" w:rsidRPr="00372C6B">
        <w:rPr>
          <w:rFonts w:ascii="Calibri" w:eastAsia="MS Mincho" w:hAnsi="Calibri" w:cs="Calibri"/>
        </w:rPr>
        <w:t xml:space="preserve"> Defines emergency procedures, directly reducing cascading risk during abnormal conditions.</w:t>
      </w:r>
      <w:r w:rsidR="001F35F8" w:rsidRPr="00372C6B">
        <w:rPr>
          <w:rFonts w:ascii="Calibri" w:eastAsia="MS Mincho" w:hAnsi="Calibri" w:cs="Calibri"/>
        </w:rPr>
        <w:t xml:space="preserve"> Focus Area(s): Emergency Operations.</w:t>
      </w:r>
    </w:p>
    <w:p w14:paraId="189202F9" w14:textId="4FC85651" w:rsidR="002666CC" w:rsidRPr="00372C6B" w:rsidRDefault="002666CC">
      <w:pPr>
        <w:pStyle w:val="ListParagraph"/>
        <w:numPr>
          <w:ilvl w:val="0"/>
          <w:numId w:val="11"/>
        </w:numPr>
        <w:rPr>
          <w:rFonts w:ascii="Calibri" w:eastAsia="MS Mincho" w:hAnsi="Calibri" w:cs="Calibri"/>
        </w:rPr>
      </w:pPr>
      <w:r w:rsidRPr="00372C6B">
        <w:rPr>
          <w:rFonts w:ascii="Calibri" w:eastAsia="MS Mincho" w:hAnsi="Calibri" w:cs="Calibri"/>
          <w:b/>
          <w:bCs/>
        </w:rPr>
        <w:t>Facility Ratings</w:t>
      </w:r>
      <w:r w:rsidR="00B428B6" w:rsidRPr="00372C6B">
        <w:rPr>
          <w:rFonts w:ascii="Calibri" w:eastAsia="MS Mincho" w:hAnsi="Calibri" w:cs="Calibri"/>
        </w:rPr>
        <w:t xml:space="preserve"> </w:t>
      </w:r>
      <w:r w:rsidR="00B428B6" w:rsidRPr="00372C6B">
        <w:rPr>
          <w:rFonts w:ascii="Calibri" w:eastAsia="MS Mincho" w:hAnsi="Calibri" w:cs="Calibri"/>
          <w:b/>
          <w:bCs/>
        </w:rPr>
        <w:t>(FAC-008-5)</w:t>
      </w:r>
      <w:r w:rsidR="00B428B6" w:rsidRPr="00372C6B">
        <w:rPr>
          <w:rFonts w:ascii="Calibri" w:eastAsia="MS Mincho" w:hAnsi="Calibri" w:cs="Calibri"/>
        </w:rPr>
        <w:t>:</w:t>
      </w:r>
      <w:r w:rsidR="0042622D" w:rsidRPr="00372C6B">
        <w:rPr>
          <w:rFonts w:ascii="Calibri" w:eastAsia="MS Mincho" w:hAnsi="Calibri" w:cs="Calibri"/>
        </w:rPr>
        <w:t xml:space="preserve"> </w:t>
      </w:r>
      <w:r w:rsidR="00B77C9D" w:rsidRPr="00372C6B">
        <w:rPr>
          <w:rFonts w:ascii="Calibri" w:eastAsia="MS Mincho" w:hAnsi="Calibri" w:cs="Calibri"/>
        </w:rPr>
        <w:t xml:space="preserve">Requires </w:t>
      </w:r>
      <w:r w:rsidR="00C53387" w:rsidRPr="00372C6B">
        <w:rPr>
          <w:rFonts w:ascii="Calibri" w:eastAsia="MS Mincho" w:hAnsi="Calibri" w:cs="Calibri"/>
        </w:rPr>
        <w:t xml:space="preserve">Transmission </w:t>
      </w:r>
      <w:r w:rsidR="00F33F02" w:rsidRPr="00372C6B">
        <w:rPr>
          <w:rFonts w:ascii="Calibri" w:eastAsia="MS Mincho" w:hAnsi="Calibri" w:cs="Calibri"/>
        </w:rPr>
        <w:t xml:space="preserve">Owner </w:t>
      </w:r>
      <w:r w:rsidR="00C53387" w:rsidRPr="00372C6B">
        <w:rPr>
          <w:rFonts w:ascii="Calibri" w:eastAsia="MS Mincho" w:hAnsi="Calibri" w:cs="Calibri"/>
        </w:rPr>
        <w:t>(</w:t>
      </w:r>
      <w:r w:rsidR="00B77C9D" w:rsidRPr="00372C6B">
        <w:rPr>
          <w:rFonts w:ascii="Calibri" w:eastAsia="MS Mincho" w:hAnsi="Calibri" w:cs="Calibri"/>
        </w:rPr>
        <w:t>TO</w:t>
      </w:r>
      <w:r w:rsidR="00C53387" w:rsidRPr="00372C6B">
        <w:rPr>
          <w:rFonts w:ascii="Calibri" w:eastAsia="MS Mincho" w:hAnsi="Calibri" w:cs="Calibri"/>
        </w:rPr>
        <w:t>)</w:t>
      </w:r>
      <w:r w:rsidR="00B77C9D" w:rsidRPr="00372C6B">
        <w:rPr>
          <w:rFonts w:ascii="Calibri" w:eastAsia="MS Mincho" w:hAnsi="Calibri" w:cs="Calibri"/>
        </w:rPr>
        <w:t>/</w:t>
      </w:r>
      <w:r w:rsidR="00C53387" w:rsidRPr="00372C6B">
        <w:rPr>
          <w:rFonts w:ascii="Calibri" w:eastAsia="MS Mincho" w:hAnsi="Calibri" w:cs="Calibri"/>
        </w:rPr>
        <w:t>Generator Owner (</w:t>
      </w:r>
      <w:r w:rsidR="00B77C9D" w:rsidRPr="00372C6B">
        <w:rPr>
          <w:rFonts w:ascii="Calibri" w:eastAsia="MS Mincho" w:hAnsi="Calibri" w:cs="Calibri"/>
        </w:rPr>
        <w:t>GO</w:t>
      </w:r>
      <w:r w:rsidR="00C53387" w:rsidRPr="00372C6B">
        <w:rPr>
          <w:rFonts w:ascii="Calibri" w:eastAsia="MS Mincho" w:hAnsi="Calibri" w:cs="Calibri"/>
        </w:rPr>
        <w:t>)</w:t>
      </w:r>
      <w:r w:rsidR="00B77C9D" w:rsidRPr="00372C6B">
        <w:rPr>
          <w:rFonts w:ascii="Calibri" w:eastAsia="MS Mincho" w:hAnsi="Calibri" w:cs="Calibri"/>
        </w:rPr>
        <w:t xml:space="preserve"> to define and maintain accurate facility ratings to support reliable system operation. Facility ratings inform SOL calculations but do not constitute real-time SOL assessment or dynamic stability evaluation</w:t>
      </w:r>
      <w:r w:rsidR="0042622D" w:rsidRPr="00372C6B">
        <w:rPr>
          <w:rFonts w:ascii="Calibri" w:eastAsia="MS Mincho" w:hAnsi="Calibri" w:cs="Calibri"/>
        </w:rPr>
        <w:t>.</w:t>
      </w:r>
      <w:r w:rsidR="001F35F8" w:rsidRPr="00372C6B">
        <w:rPr>
          <w:rFonts w:ascii="Calibri" w:eastAsia="MS Mincho" w:hAnsi="Calibri" w:cs="Calibri"/>
        </w:rPr>
        <w:t xml:space="preserve"> Focus Area(s): Facility Ratings.</w:t>
      </w:r>
    </w:p>
    <w:p w14:paraId="34191BE9" w14:textId="15510A56"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System Operating Limits Methodology for the Operations Horizon</w:t>
      </w:r>
      <w:r w:rsidR="00B428B6" w:rsidRPr="00372C6B">
        <w:rPr>
          <w:rFonts w:ascii="Calibri" w:eastAsia="MS Mincho" w:hAnsi="Calibri" w:cs="Calibri"/>
        </w:rPr>
        <w:t xml:space="preserve"> </w:t>
      </w:r>
      <w:r w:rsidR="00B428B6" w:rsidRPr="00372C6B">
        <w:rPr>
          <w:rFonts w:ascii="Calibri" w:eastAsia="MS Mincho" w:hAnsi="Calibri" w:cs="Calibri"/>
          <w:b/>
          <w:bCs/>
        </w:rPr>
        <w:t>(FAC-011-4)</w:t>
      </w:r>
      <w:r w:rsidR="00B428B6" w:rsidRPr="00372C6B">
        <w:rPr>
          <w:rFonts w:ascii="Calibri" w:eastAsia="MS Mincho" w:hAnsi="Calibri" w:cs="Calibri"/>
        </w:rPr>
        <w:t>:</w:t>
      </w:r>
      <w:r w:rsidR="0042622D" w:rsidRPr="00372C6B">
        <w:rPr>
          <w:rFonts w:ascii="Calibri" w:eastAsia="MS Mincho" w:hAnsi="Calibri" w:cs="Calibri"/>
        </w:rPr>
        <w:t xml:space="preserve"> </w:t>
      </w:r>
      <w:r w:rsidR="00C60096" w:rsidRPr="00372C6B">
        <w:rPr>
          <w:rFonts w:ascii="Calibri" w:eastAsia="MS Mincho" w:hAnsi="Calibri" w:cs="Calibri"/>
        </w:rPr>
        <w:t xml:space="preserve">Defines </w:t>
      </w:r>
      <w:r w:rsidR="004239CA" w:rsidRPr="00372C6B">
        <w:rPr>
          <w:rFonts w:ascii="Calibri" w:eastAsia="MS Mincho" w:hAnsi="Calibri" w:cs="Calibri"/>
        </w:rPr>
        <w:t xml:space="preserve">the methodology for establishing SOLs to ensure reliable operation within stability criteria, including steady-state voltage stability, transient voltage response, angular stability, and system damping. It requires Reliability Coordinators </w:t>
      </w:r>
      <w:r w:rsidR="00C60096" w:rsidRPr="00372C6B">
        <w:rPr>
          <w:rFonts w:ascii="Calibri" w:eastAsia="MS Mincho" w:hAnsi="Calibri" w:cs="Calibri"/>
        </w:rPr>
        <w:t xml:space="preserve">(RCs) </w:t>
      </w:r>
      <w:r w:rsidR="004239CA" w:rsidRPr="00372C6B">
        <w:rPr>
          <w:rFonts w:ascii="Calibri" w:eastAsia="MS Mincho" w:hAnsi="Calibri" w:cs="Calibri"/>
        </w:rPr>
        <w:t>to establish and document methodologies for determining SOLs, indirectly addressing oscillatory stability by ensuring limits consider damping margins. However, compliance can be met through offline studies or predetermined limits, creating ambiguity around real-time monitoring obligations. The standard focuses on methodology development rather than performing ongoing SOL assessments or validating real-time system conditions.</w:t>
      </w:r>
      <w:r w:rsidR="001F35F8" w:rsidRPr="00372C6B">
        <w:rPr>
          <w:rFonts w:ascii="Calibri" w:eastAsia="MS Mincho" w:hAnsi="Calibri" w:cs="Calibri"/>
        </w:rPr>
        <w:t xml:space="preserve"> Focus Area(s): SOL Methodology.</w:t>
      </w:r>
    </w:p>
    <w:p w14:paraId="425090DC" w14:textId="4F71A8E5"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Establish and Communicate System Operating Limits</w:t>
      </w:r>
      <w:r w:rsidR="00B428B6" w:rsidRPr="00372C6B">
        <w:rPr>
          <w:rFonts w:ascii="Calibri" w:eastAsia="MS Mincho" w:hAnsi="Calibri" w:cs="Calibri"/>
        </w:rPr>
        <w:t xml:space="preserve"> </w:t>
      </w:r>
      <w:r w:rsidR="00B428B6" w:rsidRPr="00372C6B">
        <w:rPr>
          <w:rFonts w:ascii="Calibri" w:eastAsia="MS Mincho" w:hAnsi="Calibri" w:cs="Calibri"/>
          <w:b/>
          <w:bCs/>
        </w:rPr>
        <w:t>(FAC-014-3)</w:t>
      </w:r>
      <w:r w:rsidR="00B428B6" w:rsidRPr="00372C6B">
        <w:rPr>
          <w:rFonts w:ascii="Calibri" w:eastAsia="MS Mincho" w:hAnsi="Calibri" w:cs="Calibri"/>
        </w:rPr>
        <w:t>:</w:t>
      </w:r>
      <w:r w:rsidR="0042622D" w:rsidRPr="00372C6B">
        <w:rPr>
          <w:rFonts w:ascii="Calibri" w:eastAsia="MS Mincho" w:hAnsi="Calibri" w:cs="Calibri"/>
        </w:rPr>
        <w:t xml:space="preserve"> </w:t>
      </w:r>
      <w:bookmarkStart w:id="9" w:name="_Hlk219276214"/>
      <w:r w:rsidR="001B4205" w:rsidRPr="00372C6B">
        <w:rPr>
          <w:rFonts w:ascii="Calibri" w:eastAsia="MS Mincho" w:hAnsi="Calibri" w:cs="Calibri"/>
        </w:rPr>
        <w:t xml:space="preserve">Requires the establishment and communication of SOLs, including IROLs, to ensure all applicable </w:t>
      </w:r>
      <w:r w:rsidR="001B4205" w:rsidRPr="00372C6B">
        <w:rPr>
          <w:rFonts w:ascii="Calibri" w:eastAsia="MS Mincho" w:hAnsi="Calibri" w:cs="Calibri"/>
        </w:rPr>
        <w:lastRenderedPageBreak/>
        <w:t>entities have the information needed for reliable system operation. These requirements help shape operating plans by providing critical parameters for maintaining reliability. However, while the standard mandates communication of limits, it does not require continuous evaluation or verification of SOLs under changing system conditions</w:t>
      </w:r>
      <w:r w:rsidR="0042622D" w:rsidRPr="00372C6B">
        <w:rPr>
          <w:rFonts w:ascii="Calibri" w:eastAsia="MS Mincho" w:hAnsi="Calibri" w:cs="Calibri"/>
        </w:rPr>
        <w:t>.</w:t>
      </w:r>
      <w:r w:rsidR="001F35F8" w:rsidRPr="00372C6B">
        <w:rPr>
          <w:rFonts w:ascii="Calibri" w:eastAsia="MS Mincho" w:hAnsi="Calibri" w:cs="Calibri"/>
        </w:rPr>
        <w:t xml:space="preserve"> Focus Area(s): SOL/IROL Communication.</w:t>
      </w:r>
    </w:p>
    <w:bookmarkEnd w:id="9"/>
    <w:p w14:paraId="143B6D70" w14:textId="4EAB356D" w:rsidR="002666CC" w:rsidRPr="00372C6B" w:rsidRDefault="005D0AF5">
      <w:pPr>
        <w:pStyle w:val="ListParagraph"/>
        <w:numPr>
          <w:ilvl w:val="0"/>
          <w:numId w:val="11"/>
        </w:numPr>
        <w:rPr>
          <w:rFonts w:ascii="Calibri" w:eastAsia="MS Mincho" w:hAnsi="Calibri" w:cs="Calibri"/>
          <w:b/>
          <w:bCs/>
        </w:rPr>
      </w:pPr>
      <w:r w:rsidRPr="00372C6B">
        <w:rPr>
          <w:rFonts w:ascii="Calibri" w:eastAsia="MS Mincho" w:hAnsi="Calibri" w:cs="Calibri"/>
          <w:b/>
          <w:bCs/>
        </w:rPr>
        <w:t>Reliability Coordination – Monitoring &amp; Analysis (IRO</w:t>
      </w:r>
      <w:r w:rsidRPr="00372C6B">
        <w:rPr>
          <w:rFonts w:ascii="Cambria Math" w:eastAsia="MS Mincho" w:hAnsi="Cambria Math" w:cs="Cambria Math"/>
          <w:b/>
          <w:bCs/>
        </w:rPr>
        <w:t>‑</w:t>
      </w:r>
      <w:r w:rsidRPr="00372C6B">
        <w:rPr>
          <w:rFonts w:ascii="Calibri" w:eastAsia="MS Mincho" w:hAnsi="Calibri" w:cs="Calibri"/>
          <w:b/>
          <w:bCs/>
        </w:rPr>
        <w:t>002</w:t>
      </w:r>
      <w:r w:rsidRPr="00372C6B">
        <w:rPr>
          <w:rFonts w:ascii="Cambria Math" w:eastAsia="MS Mincho" w:hAnsi="Cambria Math" w:cs="Cambria Math"/>
          <w:b/>
          <w:bCs/>
        </w:rPr>
        <w:t>‑</w:t>
      </w:r>
      <w:r w:rsidRPr="00372C6B">
        <w:rPr>
          <w:rFonts w:ascii="Calibri" w:eastAsia="MS Mincho" w:hAnsi="Calibri" w:cs="Calibri"/>
          <w:b/>
          <w:bCs/>
        </w:rPr>
        <w:t xml:space="preserve">7) and WECC Regional Variance: </w:t>
      </w:r>
      <w:r w:rsidRPr="00372C6B">
        <w:rPr>
          <w:rFonts w:ascii="Calibri" w:eastAsia="MS Mincho" w:hAnsi="Calibri" w:cs="Calibri"/>
        </w:rPr>
        <w:t>Baseline IRO</w:t>
      </w:r>
      <w:r w:rsidRPr="00372C6B">
        <w:rPr>
          <w:rFonts w:ascii="Cambria Math" w:eastAsia="MS Mincho" w:hAnsi="Cambria Math" w:cs="Cambria Math"/>
        </w:rPr>
        <w:t>‑</w:t>
      </w:r>
      <w:r w:rsidRPr="00372C6B">
        <w:rPr>
          <w:rFonts w:ascii="Calibri" w:eastAsia="MS Mincho" w:hAnsi="Calibri" w:cs="Calibri"/>
        </w:rPr>
        <w:t>002</w:t>
      </w:r>
      <w:r w:rsidRPr="00372C6B">
        <w:rPr>
          <w:rFonts w:ascii="Cambria Math" w:eastAsia="MS Mincho" w:hAnsi="Cambria Math" w:cs="Cambria Math"/>
        </w:rPr>
        <w:t>‑</w:t>
      </w:r>
      <w:r w:rsidRPr="00372C6B">
        <w:rPr>
          <w:rFonts w:ascii="Calibri" w:eastAsia="MS Mincho" w:hAnsi="Calibri" w:cs="Calibri"/>
        </w:rPr>
        <w:t>7 standard ensures robust data exchange, redundancy, and operator authority around monitoring/analysis capabilities. The WECC variance goes further by providing system operators with the capabilities necessary to monitor and analyze data needed to perform their reliability functions, but only regionally.</w:t>
      </w:r>
      <w:r w:rsidR="001F35F8" w:rsidRPr="00372C6B">
        <w:rPr>
          <w:rFonts w:ascii="Calibri" w:eastAsia="MS Mincho" w:hAnsi="Calibri" w:cs="Calibri"/>
        </w:rPr>
        <w:t xml:space="preserve"> Focus Area(s): Monitoring Capabilities &amp; Data Exchange Resilience, Monitoring Inter-area Oscillations and Validation of Models in Real time (WECC).</w:t>
      </w:r>
    </w:p>
    <w:p w14:paraId="09BD6084" w14:textId="50094A9B"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Reliability Coordinator Operational Analyses and Real-time Assessments</w:t>
      </w:r>
      <w:r w:rsidR="00B428B6" w:rsidRPr="00372C6B">
        <w:rPr>
          <w:rFonts w:ascii="Calibri" w:eastAsia="MS Mincho" w:hAnsi="Calibri" w:cs="Calibri"/>
          <w:b/>
          <w:bCs/>
        </w:rPr>
        <w:t xml:space="preserve"> (IRO-008-3</w:t>
      </w:r>
      <w:r w:rsidRPr="00372C6B">
        <w:rPr>
          <w:rFonts w:ascii="Calibri" w:eastAsia="MS Mincho" w:hAnsi="Calibri" w:cs="Calibri"/>
          <w:b/>
          <w:bCs/>
        </w:rPr>
        <w:t>)</w:t>
      </w:r>
      <w:r w:rsidR="00B428B6" w:rsidRPr="00372C6B">
        <w:rPr>
          <w:rFonts w:ascii="Calibri" w:eastAsia="MS Mincho" w:hAnsi="Calibri" w:cs="Calibri"/>
        </w:rPr>
        <w:t>:</w:t>
      </w:r>
      <w:r w:rsidR="008B014F" w:rsidRPr="00372C6B">
        <w:rPr>
          <w:rFonts w:ascii="Calibri" w:eastAsia="MS Mincho" w:hAnsi="Calibri" w:cs="Calibri"/>
        </w:rPr>
        <w:t>IRO-002-7</w:t>
      </w:r>
      <w:r w:rsidR="00B77C9D" w:rsidRPr="00372C6B">
        <w:rPr>
          <w:rFonts w:ascii="Calibri" w:eastAsia="MS Mincho" w:hAnsi="Calibri" w:cs="Calibri"/>
        </w:rPr>
        <w:t xml:space="preserve"> </w:t>
      </w:r>
      <w:r w:rsidR="008B014F" w:rsidRPr="00372C6B">
        <w:rPr>
          <w:rFonts w:ascii="Calibri" w:eastAsia="MS Mincho" w:hAnsi="Calibri" w:cs="Calibri"/>
          <w:u w:val="single"/>
        </w:rPr>
        <w:t>establishes baseline NERC requirements that ensure Reliability Coordinators have robust data exchange, redundancy, monitoring systems, and operator authority to support real</w:t>
      </w:r>
      <w:r w:rsidR="008B014F" w:rsidRPr="00372C6B">
        <w:rPr>
          <w:rFonts w:ascii="Calibri" w:eastAsia="MS Mincho" w:hAnsi="Calibri" w:cs="Calibri"/>
          <w:u w:val="single"/>
        </w:rPr>
        <w:noBreakHyphen/>
        <w:t>time monitoring and analysis functions. The WECC Regional Variance builds upon IRO</w:t>
      </w:r>
      <w:r w:rsidR="008B014F" w:rsidRPr="00372C6B">
        <w:rPr>
          <w:rFonts w:ascii="Calibri" w:eastAsia="MS Mincho" w:hAnsi="Calibri" w:cs="Calibri"/>
          <w:u w:val="single"/>
        </w:rPr>
        <w:noBreakHyphen/>
        <w:t>002</w:t>
      </w:r>
      <w:r w:rsidR="008B014F" w:rsidRPr="00372C6B">
        <w:rPr>
          <w:rFonts w:ascii="Calibri" w:eastAsia="MS Mincho" w:hAnsi="Calibri" w:cs="Calibri"/>
          <w:u w:val="single"/>
        </w:rPr>
        <w:noBreakHyphen/>
        <w:t>7 by introducing Western Interconnection</w:t>
      </w:r>
      <w:r w:rsidR="008B014F" w:rsidRPr="00372C6B">
        <w:rPr>
          <w:rFonts w:ascii="Calibri" w:eastAsia="MS Mincho" w:hAnsi="Calibri" w:cs="Calibri"/>
          <w:u w:val="single"/>
        </w:rPr>
        <w:noBreakHyphen/>
        <w:t>specific requirements for coordinated, interconnection</w:t>
      </w:r>
      <w:r w:rsidR="008B014F" w:rsidRPr="00372C6B">
        <w:rPr>
          <w:rFonts w:ascii="Calibri" w:eastAsia="MS Mincho" w:hAnsi="Calibri" w:cs="Calibri"/>
          <w:u w:val="single"/>
        </w:rPr>
        <w:noBreakHyphen/>
        <w:t>wide modeling and monitoring methodologies, including the analysis of inter</w:t>
      </w:r>
      <w:r w:rsidR="008B014F" w:rsidRPr="00372C6B">
        <w:rPr>
          <w:rFonts w:ascii="Calibri" w:eastAsia="MS Mincho" w:hAnsi="Calibri" w:cs="Calibri"/>
          <w:u w:val="single"/>
        </w:rPr>
        <w:noBreakHyphen/>
        <w:t>area oscillations and the validation and periodic review of steady</w:t>
      </w:r>
      <w:r w:rsidR="008B014F" w:rsidRPr="00372C6B">
        <w:rPr>
          <w:rFonts w:ascii="Calibri" w:eastAsia="MS Mincho" w:hAnsi="Calibri" w:cs="Calibri"/>
          <w:u w:val="single"/>
        </w:rPr>
        <w:noBreakHyphen/>
        <w:t>state and dynamic system models. Focus Area(s): Monitoring Capabilities &amp; Data Exchange Resilience (IRO</w:t>
      </w:r>
      <w:r w:rsidR="008B014F" w:rsidRPr="00372C6B">
        <w:rPr>
          <w:rFonts w:ascii="Calibri" w:eastAsia="MS Mincho" w:hAnsi="Calibri" w:cs="Calibri"/>
          <w:u w:val="single"/>
        </w:rPr>
        <w:noBreakHyphen/>
        <w:t>002</w:t>
      </w:r>
      <w:r w:rsidR="008B014F" w:rsidRPr="00372C6B">
        <w:rPr>
          <w:rFonts w:ascii="Calibri" w:eastAsia="MS Mincho" w:hAnsi="Calibri" w:cs="Calibri"/>
          <w:u w:val="single"/>
        </w:rPr>
        <w:noBreakHyphen/>
        <w:t>7); Inter</w:t>
      </w:r>
      <w:r w:rsidR="008B014F" w:rsidRPr="00372C6B">
        <w:rPr>
          <w:rFonts w:ascii="Calibri" w:eastAsia="MS Mincho" w:hAnsi="Calibri" w:cs="Calibri"/>
          <w:u w:val="single"/>
        </w:rPr>
        <w:noBreakHyphen/>
        <w:t>area Oscillation Monitoring and Real</w:t>
      </w:r>
      <w:r w:rsidR="008B014F" w:rsidRPr="00372C6B">
        <w:rPr>
          <w:rFonts w:ascii="Calibri" w:eastAsia="MS Mincho" w:hAnsi="Calibri" w:cs="Calibri"/>
          <w:u w:val="single"/>
        </w:rPr>
        <w:noBreakHyphen/>
        <w:t>time Model Validation (WECC Regional Variance).</w:t>
      </w:r>
    </w:p>
    <w:p w14:paraId="49AB6D0E" w14:textId="62CDB86D" w:rsidR="002666CC" w:rsidRPr="00372C6B" w:rsidRDefault="002666CC">
      <w:pPr>
        <w:pStyle w:val="ListParagraph"/>
        <w:numPr>
          <w:ilvl w:val="0"/>
          <w:numId w:val="11"/>
        </w:numPr>
        <w:rPr>
          <w:rFonts w:ascii="Calibri" w:eastAsia="MS Mincho" w:hAnsi="Calibri" w:cs="Calibri"/>
        </w:rPr>
      </w:pPr>
      <w:r w:rsidRPr="00372C6B">
        <w:rPr>
          <w:rFonts w:ascii="Calibri" w:eastAsia="MS Mincho" w:hAnsi="Calibri" w:cs="Calibri"/>
          <w:b/>
          <w:bCs/>
        </w:rPr>
        <w:t>Reliability Coordinator Actions to Operate Within IROLs</w:t>
      </w:r>
      <w:r w:rsidR="00B428B6" w:rsidRPr="00372C6B">
        <w:rPr>
          <w:rFonts w:ascii="Calibri" w:eastAsia="MS Mincho" w:hAnsi="Calibri" w:cs="Calibri"/>
        </w:rPr>
        <w:t xml:space="preserve"> </w:t>
      </w:r>
      <w:r w:rsidR="00B428B6" w:rsidRPr="00372C6B">
        <w:rPr>
          <w:rFonts w:ascii="Calibri" w:eastAsia="MS Mincho" w:hAnsi="Calibri" w:cs="Calibri"/>
          <w:b/>
          <w:bCs/>
        </w:rPr>
        <w:t>(IRO-009-2)</w:t>
      </w:r>
      <w:r w:rsidR="00B428B6" w:rsidRPr="00372C6B">
        <w:rPr>
          <w:rFonts w:ascii="Calibri" w:eastAsia="MS Mincho" w:hAnsi="Calibri" w:cs="Calibri"/>
        </w:rPr>
        <w:t>:</w:t>
      </w:r>
      <w:r w:rsidR="00190132" w:rsidRPr="00372C6B">
        <w:rPr>
          <w:rFonts w:ascii="Calibri" w:eastAsia="MS Mincho" w:hAnsi="Calibri" w:cs="Calibri"/>
        </w:rPr>
        <w:t xml:space="preserve"> </w:t>
      </w:r>
      <w:r w:rsidR="001B4205" w:rsidRPr="00372C6B">
        <w:rPr>
          <w:rFonts w:ascii="Calibri" w:eastAsia="MS Mincho" w:hAnsi="Calibri" w:cs="Calibri"/>
        </w:rPr>
        <w:t>Requires the RC to take timely and effective actions to maintain operations within IROLs, directly preventing instability or cascading outages</w:t>
      </w:r>
      <w:r w:rsidR="00190132" w:rsidRPr="00372C6B">
        <w:rPr>
          <w:rFonts w:ascii="Calibri" w:eastAsia="MS Mincho" w:hAnsi="Calibri" w:cs="Calibri"/>
        </w:rPr>
        <w:t>. It emphasizes corrective actions rather than proactive SOL assessment or continuous monitoring of stability margins.</w:t>
      </w:r>
      <w:r w:rsidR="001F35F8" w:rsidRPr="00372C6B">
        <w:rPr>
          <w:rFonts w:ascii="Calibri" w:eastAsia="MS Mincho" w:hAnsi="Calibri" w:cs="Calibri"/>
        </w:rPr>
        <w:t xml:space="preserve"> Focus Area(s): IROL Compliance Actions.</w:t>
      </w:r>
    </w:p>
    <w:p w14:paraId="76E00AF5" w14:textId="58016B29"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 xml:space="preserve">Reliability Coordinator Data and </w:t>
      </w:r>
      <w:r w:rsidR="5EDA5BDC" w:rsidRPr="00372C6B">
        <w:rPr>
          <w:rFonts w:ascii="Calibri" w:eastAsia="MS Mincho" w:hAnsi="Calibri" w:cs="Calibri"/>
          <w:b/>
          <w:bCs/>
        </w:rPr>
        <w:t>I</w:t>
      </w:r>
      <w:r w:rsidRPr="00372C6B">
        <w:rPr>
          <w:rFonts w:ascii="Calibri" w:eastAsia="MS Mincho" w:hAnsi="Calibri" w:cs="Calibri"/>
          <w:b/>
          <w:bCs/>
        </w:rPr>
        <w:t>nformation Specification and Collection</w:t>
      </w:r>
      <w:r w:rsidR="00B428B6" w:rsidRPr="00372C6B">
        <w:rPr>
          <w:rFonts w:ascii="Calibri" w:eastAsia="MS Mincho" w:hAnsi="Calibri" w:cs="Calibri"/>
          <w:b/>
          <w:bCs/>
        </w:rPr>
        <w:t xml:space="preserve"> (IRO-010-5)</w:t>
      </w:r>
      <w:r w:rsidR="00B428B6" w:rsidRPr="00372C6B">
        <w:rPr>
          <w:rFonts w:ascii="Calibri" w:eastAsia="MS Mincho" w:hAnsi="Calibri" w:cs="Calibri"/>
        </w:rPr>
        <w:t>:</w:t>
      </w:r>
      <w:r w:rsidR="00915BF6" w:rsidRPr="00372C6B">
        <w:rPr>
          <w:rFonts w:ascii="Calibri" w:eastAsia="MS Mincho" w:hAnsi="Calibri" w:cs="Calibri"/>
        </w:rPr>
        <w:t xml:space="preserve"> Ensures RCs have necessary data, indirectly supporting cascading prevention through informed decision-making.</w:t>
      </w:r>
      <w:r w:rsidR="001F35F8" w:rsidRPr="00372C6B">
        <w:rPr>
          <w:rFonts w:ascii="Calibri" w:eastAsia="MS Mincho" w:hAnsi="Calibri" w:cs="Calibri"/>
        </w:rPr>
        <w:t xml:space="preserve"> Focus Area(s): Data Specification.</w:t>
      </w:r>
    </w:p>
    <w:p w14:paraId="35C5EB2A" w14:textId="5E4F6A52"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Reliability Coordinator Real-time Reliability Monitoring and Analysis Capabilities</w:t>
      </w:r>
      <w:r w:rsidR="005B343F" w:rsidRPr="00372C6B">
        <w:rPr>
          <w:rFonts w:ascii="Calibri" w:eastAsia="MS Mincho" w:hAnsi="Calibri" w:cs="Calibri"/>
          <w:b/>
          <w:bCs/>
        </w:rPr>
        <w:t xml:space="preserve"> (IRO-018-1(i))</w:t>
      </w:r>
      <w:r w:rsidR="005B343F" w:rsidRPr="00372C6B">
        <w:rPr>
          <w:rFonts w:ascii="Calibri" w:eastAsia="MS Mincho" w:hAnsi="Calibri" w:cs="Calibri"/>
        </w:rPr>
        <w:t>:</w:t>
      </w:r>
      <w:r w:rsidR="0042622D" w:rsidRPr="00372C6B">
        <w:rPr>
          <w:rFonts w:ascii="Calibri" w:eastAsia="MS Mincho" w:hAnsi="Calibri" w:cs="Calibri"/>
        </w:rPr>
        <w:t xml:space="preserve"> </w:t>
      </w:r>
      <w:r w:rsidR="007014A1" w:rsidRPr="00372C6B">
        <w:rPr>
          <w:rFonts w:ascii="Calibri" w:eastAsia="MS Mincho" w:hAnsi="Calibri" w:cs="Calibri"/>
        </w:rPr>
        <w:t xml:space="preserve">Requires </w:t>
      </w:r>
      <w:r w:rsidR="001F35F8" w:rsidRPr="00372C6B">
        <w:rPr>
          <w:rFonts w:ascii="Calibri" w:eastAsia="MS Mincho" w:hAnsi="Calibri" w:cs="Calibri"/>
        </w:rPr>
        <w:t>RCs</w:t>
      </w:r>
      <w:r w:rsidR="007014A1" w:rsidRPr="00372C6B">
        <w:rPr>
          <w:rFonts w:ascii="Calibri" w:eastAsia="MS Mincho" w:hAnsi="Calibri" w:cs="Calibri"/>
        </w:rPr>
        <w:t xml:space="preserve"> to maintain real-time monitoring and analysis capabilities, including processes that ensure data quality, analysis accuracy, and alarm availability for real-time assessments. These provisions improve operator decision-making during dynamic conditions and support situational awareness. However, the standard does not mandate continuous stability or oscillation analytics, such as damping measurement or forced-oscillation detection.</w:t>
      </w:r>
      <w:r w:rsidR="001F35F8" w:rsidRPr="00372C6B">
        <w:rPr>
          <w:rFonts w:ascii="Calibri" w:eastAsia="MS Mincho" w:hAnsi="Calibri" w:cs="Calibri"/>
        </w:rPr>
        <w:t xml:space="preserve"> Focus Area(s): Real</w:t>
      </w:r>
      <w:r w:rsidR="001F35F8" w:rsidRPr="00372C6B">
        <w:rPr>
          <w:rFonts w:ascii="Cambria Math" w:eastAsia="MS Mincho" w:hAnsi="Cambria Math" w:cs="Cambria Math"/>
        </w:rPr>
        <w:t>‑</w:t>
      </w:r>
      <w:r w:rsidR="001F35F8" w:rsidRPr="00372C6B">
        <w:rPr>
          <w:rFonts w:ascii="Calibri" w:eastAsia="MS Mincho" w:hAnsi="Calibri" w:cs="Calibri"/>
        </w:rPr>
        <w:t xml:space="preserve">time </w:t>
      </w:r>
      <w:r w:rsidR="00DA2258" w:rsidRPr="00372C6B">
        <w:rPr>
          <w:rFonts w:ascii="Calibri" w:eastAsia="MS Mincho" w:hAnsi="Calibri" w:cs="Calibri"/>
        </w:rPr>
        <w:t>S</w:t>
      </w:r>
      <w:r w:rsidR="001F35F8" w:rsidRPr="00372C6B">
        <w:rPr>
          <w:rFonts w:ascii="Calibri" w:eastAsia="MS Mincho" w:hAnsi="Calibri" w:cs="Calibri"/>
        </w:rPr>
        <w:t xml:space="preserve">ituational </w:t>
      </w:r>
      <w:r w:rsidR="00DA2258" w:rsidRPr="00372C6B">
        <w:rPr>
          <w:rFonts w:ascii="Calibri" w:eastAsia="MS Mincho" w:hAnsi="Calibri" w:cs="Calibri"/>
        </w:rPr>
        <w:t>A</w:t>
      </w:r>
      <w:r w:rsidR="001F35F8" w:rsidRPr="00372C6B">
        <w:rPr>
          <w:rFonts w:ascii="Calibri" w:eastAsia="MS Mincho" w:hAnsi="Calibri" w:cs="Calibri"/>
        </w:rPr>
        <w:t xml:space="preserve">wareness &amp; </w:t>
      </w:r>
      <w:r w:rsidR="00DA2258" w:rsidRPr="00372C6B">
        <w:rPr>
          <w:rFonts w:ascii="Calibri" w:eastAsia="MS Mincho" w:hAnsi="Calibri" w:cs="Calibri"/>
        </w:rPr>
        <w:t>A</w:t>
      </w:r>
      <w:r w:rsidR="001F35F8" w:rsidRPr="00372C6B">
        <w:rPr>
          <w:rFonts w:ascii="Calibri" w:eastAsia="MS Mincho" w:hAnsi="Calibri" w:cs="Calibri"/>
        </w:rPr>
        <w:t xml:space="preserve">ssessment </w:t>
      </w:r>
      <w:r w:rsidR="00DA2258" w:rsidRPr="00372C6B">
        <w:rPr>
          <w:rFonts w:ascii="Calibri" w:eastAsia="MS Mincho" w:hAnsi="Calibri" w:cs="Calibri"/>
        </w:rPr>
        <w:t>Q</w:t>
      </w:r>
      <w:r w:rsidR="001F35F8" w:rsidRPr="00372C6B">
        <w:rPr>
          <w:rFonts w:ascii="Calibri" w:eastAsia="MS Mincho" w:hAnsi="Calibri" w:cs="Calibri"/>
        </w:rPr>
        <w:t>uality.</w:t>
      </w:r>
    </w:p>
    <w:p w14:paraId="29579900" w14:textId="0A402F8E"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lastRenderedPageBreak/>
        <w:t>Verification and Data Reporting of Generator Real and Reactive Power Capability and Synchronous Condenser Reactive Power Capability</w:t>
      </w:r>
      <w:r w:rsidR="00892E78" w:rsidRPr="00372C6B">
        <w:rPr>
          <w:rFonts w:ascii="Calibri" w:eastAsia="MS Mincho" w:hAnsi="Calibri" w:cs="Calibri"/>
        </w:rPr>
        <w:t xml:space="preserve"> </w:t>
      </w:r>
      <w:r w:rsidR="00892E78" w:rsidRPr="00372C6B">
        <w:rPr>
          <w:rFonts w:ascii="Calibri" w:eastAsia="MS Mincho" w:hAnsi="Calibri" w:cs="Calibri"/>
          <w:b/>
          <w:bCs/>
        </w:rPr>
        <w:t>(MOD-025-2)</w:t>
      </w:r>
      <w:r w:rsidR="00892E78" w:rsidRPr="00372C6B">
        <w:rPr>
          <w:rFonts w:ascii="Calibri" w:eastAsia="MS Mincho" w:hAnsi="Calibri" w:cs="Calibri"/>
        </w:rPr>
        <w:t>:</w:t>
      </w:r>
      <w:r w:rsidR="00106102" w:rsidRPr="00372C6B">
        <w:rPr>
          <w:rFonts w:ascii="Calibri" w:eastAsia="MS Mincho" w:hAnsi="Calibri" w:cs="Calibri"/>
        </w:rPr>
        <w:t xml:space="preserve"> Ensures accurate verification of generator and condenser capabilities, indirectly supporting damping by confirming reactive power resources needed for voltage and oscillation stability.</w:t>
      </w:r>
      <w:r w:rsidR="001F35F8" w:rsidRPr="00372C6B">
        <w:rPr>
          <w:rFonts w:ascii="Calibri" w:eastAsia="MS Mincho" w:hAnsi="Calibri" w:cs="Calibri"/>
        </w:rPr>
        <w:t xml:space="preserve"> Focus Area(s): Generator Capability Verification.</w:t>
      </w:r>
    </w:p>
    <w:p w14:paraId="063BDD7F" w14:textId="25E3005E" w:rsidR="007D5E5E" w:rsidRPr="00372C6B" w:rsidRDefault="007D5E5E" w:rsidP="00DD210B">
      <w:pPr>
        <w:pStyle w:val="ListParagraph"/>
        <w:rPr>
          <w:rFonts w:ascii="Calibri" w:eastAsia="MS Mincho" w:hAnsi="Calibri" w:cs="Calibri"/>
        </w:rPr>
      </w:pPr>
      <w:r w:rsidRPr="00372C6B">
        <w:rPr>
          <w:rFonts w:ascii="Calibri" w:eastAsia="MS Mincho" w:hAnsi="Calibri" w:cs="Calibri"/>
          <w:b/>
          <w:bCs/>
        </w:rPr>
        <w:t>Verification and Validation of Models and Data</w:t>
      </w:r>
      <w:r w:rsidR="00892E78" w:rsidRPr="00372C6B">
        <w:rPr>
          <w:rFonts w:ascii="Calibri" w:eastAsia="MS Mincho" w:hAnsi="Calibri" w:cs="Calibri"/>
        </w:rPr>
        <w:t xml:space="preserve"> </w:t>
      </w:r>
      <w:r w:rsidR="00892E78" w:rsidRPr="00372C6B">
        <w:rPr>
          <w:rFonts w:ascii="Calibri" w:eastAsia="MS Mincho" w:hAnsi="Calibri" w:cs="Calibri"/>
          <w:b/>
          <w:bCs/>
        </w:rPr>
        <w:t>(MOD-026-2)</w:t>
      </w:r>
      <w:r w:rsidR="00892E78" w:rsidRPr="00372C6B">
        <w:rPr>
          <w:rFonts w:ascii="Calibri" w:eastAsia="MS Mincho" w:hAnsi="Calibri" w:cs="Calibri"/>
        </w:rPr>
        <w:t>:</w:t>
      </w:r>
      <w:r w:rsidR="00915BF6" w:rsidRPr="00372C6B">
        <w:rPr>
          <w:rFonts w:ascii="Calibri" w:eastAsia="MS Mincho" w:hAnsi="Calibri" w:cs="Calibri"/>
        </w:rPr>
        <w:t xml:space="preserve"> </w:t>
      </w:r>
      <w:r w:rsidR="00DD210B" w:rsidRPr="00372C6B">
        <w:rPr>
          <w:rFonts w:ascii="Calibri" w:eastAsia="MS Mincho" w:hAnsi="Calibri" w:cs="Calibri"/>
        </w:rPr>
        <w:t>Requires validation of dynamic models for generators and other equipment, directly improving stability studies by ensuring accurate representation of oscillatory behavior and damping. This indirectly supports overall system stability and reduces cascading risk through proper voltage control and reliable dynamic performance</w:t>
      </w:r>
      <w:r w:rsidR="00915BF6" w:rsidRPr="00372C6B">
        <w:rPr>
          <w:rFonts w:ascii="Calibri" w:eastAsia="MS Mincho" w:hAnsi="Calibri" w:cs="Calibri"/>
        </w:rPr>
        <w:t>.</w:t>
      </w:r>
      <w:r w:rsidR="001F35F8" w:rsidRPr="00372C6B">
        <w:rPr>
          <w:rFonts w:ascii="Calibri" w:eastAsia="MS Mincho" w:hAnsi="Calibri" w:cs="Calibri"/>
        </w:rPr>
        <w:t xml:space="preserve"> Focus Area(s): </w:t>
      </w:r>
      <w:r w:rsidR="00DA2258" w:rsidRPr="00372C6B">
        <w:rPr>
          <w:rFonts w:ascii="Calibri" w:eastAsia="MS Mincho" w:hAnsi="Calibri" w:cs="Calibri"/>
        </w:rPr>
        <w:t>Dynamic Model Validation, Model Verification-Excitation</w:t>
      </w:r>
      <w:r w:rsidR="001F35F8" w:rsidRPr="00372C6B">
        <w:rPr>
          <w:rFonts w:ascii="Calibri" w:eastAsia="MS Mincho" w:hAnsi="Calibri" w:cs="Calibri"/>
        </w:rPr>
        <w:t>.</w:t>
      </w:r>
    </w:p>
    <w:p w14:paraId="1418160A" w14:textId="78B607E4" w:rsidR="00FA2500"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Verification of Models and Data for Turbine/Governor and Load Control or Active Power/Frequency Control Functions</w:t>
      </w:r>
      <w:r w:rsidR="00892E78" w:rsidRPr="00372C6B">
        <w:rPr>
          <w:rFonts w:ascii="Calibri" w:eastAsia="MS Mincho" w:hAnsi="Calibri" w:cs="Calibri"/>
        </w:rPr>
        <w:t xml:space="preserve"> </w:t>
      </w:r>
      <w:r w:rsidR="00892E78" w:rsidRPr="00372C6B">
        <w:rPr>
          <w:rFonts w:ascii="Calibri" w:eastAsia="MS Mincho" w:hAnsi="Calibri" w:cs="Calibri"/>
          <w:b/>
          <w:bCs/>
        </w:rPr>
        <w:t>(MOD-027-1)</w:t>
      </w:r>
      <w:r w:rsidR="00892E78" w:rsidRPr="00372C6B">
        <w:rPr>
          <w:rFonts w:ascii="Calibri" w:eastAsia="MS Mincho" w:hAnsi="Calibri" w:cs="Calibri"/>
        </w:rPr>
        <w:t>:</w:t>
      </w:r>
      <w:r w:rsidR="00915BF6" w:rsidRPr="00372C6B">
        <w:rPr>
          <w:rFonts w:ascii="Calibri" w:eastAsia="MS Mincho" w:hAnsi="Calibri" w:cs="Calibri"/>
        </w:rPr>
        <w:t xml:space="preserve"> </w:t>
      </w:r>
      <w:r w:rsidR="00FA2500" w:rsidRPr="00372C6B">
        <w:rPr>
          <w:rFonts w:ascii="Calibri" w:eastAsia="MS Mincho" w:hAnsi="Calibri" w:cs="Calibri"/>
        </w:rPr>
        <w:t>Requires verification of turbine/governor and load control models to ensure accurate simulation of frequency and oscillation control responses. By validating these models for frequency and power control, the standard directly supports damping and system stability while indirectly reducing the risk of uncontrolled separation by improving system response during disturbances.</w:t>
      </w:r>
      <w:r w:rsidR="001F35F8" w:rsidRPr="00372C6B">
        <w:rPr>
          <w:rFonts w:ascii="Calibri" w:eastAsia="MS Mincho" w:hAnsi="Calibri" w:cs="Calibri"/>
        </w:rPr>
        <w:t xml:space="preserve"> Focus Area(s): Model Verification-Frequency Control</w:t>
      </w:r>
      <w:r w:rsidR="00DA2258" w:rsidRPr="00372C6B">
        <w:rPr>
          <w:rFonts w:ascii="Calibri" w:eastAsia="MS Mincho" w:hAnsi="Calibri" w:cs="Calibri"/>
        </w:rPr>
        <w:t>, Governor and Load Control Models</w:t>
      </w:r>
      <w:r w:rsidR="001F35F8" w:rsidRPr="00372C6B">
        <w:rPr>
          <w:rFonts w:ascii="Calibri" w:eastAsia="MS Mincho" w:hAnsi="Calibri" w:cs="Calibri"/>
        </w:rPr>
        <w:t>.</w:t>
      </w:r>
    </w:p>
    <w:p w14:paraId="25DBC99B" w14:textId="3F1F1DAF"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Data for Power System Modeling and Analysis</w:t>
      </w:r>
      <w:r w:rsidR="00892E78" w:rsidRPr="00372C6B">
        <w:rPr>
          <w:rFonts w:ascii="Calibri" w:eastAsia="MS Mincho" w:hAnsi="Calibri" w:cs="Calibri"/>
        </w:rPr>
        <w:t xml:space="preserve"> </w:t>
      </w:r>
      <w:r w:rsidR="00892E78" w:rsidRPr="00372C6B">
        <w:rPr>
          <w:rFonts w:ascii="Calibri" w:eastAsia="MS Mincho" w:hAnsi="Calibri" w:cs="Calibri"/>
          <w:b/>
          <w:bCs/>
        </w:rPr>
        <w:t>(MOD-032-1)</w:t>
      </w:r>
      <w:r w:rsidR="00892E78" w:rsidRPr="00372C6B">
        <w:rPr>
          <w:rFonts w:ascii="Calibri" w:eastAsia="MS Mincho" w:hAnsi="Calibri" w:cs="Calibri"/>
        </w:rPr>
        <w:t>:</w:t>
      </w:r>
      <w:r w:rsidR="00915BF6" w:rsidRPr="00372C6B">
        <w:rPr>
          <w:rFonts w:ascii="Calibri" w:eastAsia="MS Mincho" w:hAnsi="Calibri" w:cs="Calibri"/>
        </w:rPr>
        <w:t xml:space="preserve"> Requires collection of accurate modeling data, indirectly supporting cascading prevention by enabling reliable stability studies.</w:t>
      </w:r>
      <w:r w:rsidR="001F35F8" w:rsidRPr="00372C6B">
        <w:rPr>
          <w:rFonts w:ascii="Calibri" w:eastAsia="MS Mincho" w:hAnsi="Calibri" w:cs="Calibri"/>
        </w:rPr>
        <w:t xml:space="preserve"> Focus Area(s): Model Data Collection.</w:t>
      </w:r>
    </w:p>
    <w:p w14:paraId="1D142EB4" w14:textId="21A5DF55" w:rsidR="007D5E5E" w:rsidRPr="00372C6B" w:rsidRDefault="007D5E5E">
      <w:pPr>
        <w:pStyle w:val="ListParagraph"/>
        <w:numPr>
          <w:ilvl w:val="0"/>
          <w:numId w:val="11"/>
        </w:numPr>
        <w:rPr>
          <w:rFonts w:ascii="Calibri" w:eastAsia="MS Mincho" w:hAnsi="Calibri" w:cs="Calibri"/>
        </w:rPr>
      </w:pPr>
      <w:r w:rsidRPr="00372C6B">
        <w:rPr>
          <w:rFonts w:ascii="Calibri" w:eastAsia="MS Mincho" w:hAnsi="Calibri" w:cs="Calibri"/>
          <w:b/>
          <w:bCs/>
        </w:rPr>
        <w:t>Steady-State and Dynamic System Model Validation</w:t>
      </w:r>
      <w:r w:rsidR="00892E78" w:rsidRPr="00372C6B">
        <w:rPr>
          <w:rFonts w:ascii="Calibri" w:eastAsia="MS Mincho" w:hAnsi="Calibri" w:cs="Calibri"/>
        </w:rPr>
        <w:t xml:space="preserve"> </w:t>
      </w:r>
      <w:r w:rsidR="00892E78" w:rsidRPr="00372C6B">
        <w:rPr>
          <w:rFonts w:ascii="Calibri" w:eastAsia="MS Mincho" w:hAnsi="Calibri" w:cs="Calibri"/>
          <w:b/>
          <w:bCs/>
        </w:rPr>
        <w:t>(MOD-033-2)</w:t>
      </w:r>
      <w:r w:rsidR="00892E78" w:rsidRPr="00372C6B">
        <w:rPr>
          <w:rFonts w:ascii="Calibri" w:eastAsia="MS Mincho" w:hAnsi="Calibri" w:cs="Calibri"/>
        </w:rPr>
        <w:t>:</w:t>
      </w:r>
      <w:r w:rsidR="00915BF6" w:rsidRPr="00372C6B">
        <w:rPr>
          <w:rFonts w:ascii="Calibri" w:eastAsia="MS Mincho" w:hAnsi="Calibri" w:cs="Calibri"/>
        </w:rPr>
        <w:t xml:space="preserve"> </w:t>
      </w:r>
      <w:r w:rsidR="00C60096" w:rsidRPr="00372C6B">
        <w:rPr>
          <w:rFonts w:ascii="Calibri" w:eastAsia="MS Mincho" w:hAnsi="Calibri" w:cs="Calibri"/>
        </w:rPr>
        <w:t xml:space="preserve">Requires </w:t>
      </w:r>
      <w:r w:rsidR="00915BF6" w:rsidRPr="00372C6B">
        <w:rPr>
          <w:rFonts w:ascii="Calibri" w:eastAsia="MS Mincho" w:hAnsi="Calibri" w:cs="Calibri"/>
        </w:rPr>
        <w:t>validation of system models, indirectly reducing cascading risk by ensuring accurate simulation of system behavior under stress.</w:t>
      </w:r>
      <w:r w:rsidR="001F35F8" w:rsidRPr="00372C6B">
        <w:rPr>
          <w:rFonts w:ascii="Calibri" w:eastAsia="MS Mincho" w:hAnsi="Calibri" w:cs="Calibri"/>
        </w:rPr>
        <w:t xml:space="preserve"> Focus Area(s): Model Validation.</w:t>
      </w:r>
    </w:p>
    <w:p w14:paraId="27470865" w14:textId="013C64D2" w:rsidR="002C2C91" w:rsidRPr="00372C6B" w:rsidRDefault="002C2C91">
      <w:pPr>
        <w:pStyle w:val="ListParagraph"/>
        <w:numPr>
          <w:ilvl w:val="0"/>
          <w:numId w:val="11"/>
        </w:numPr>
        <w:rPr>
          <w:rFonts w:ascii="Calibri" w:eastAsia="MS Mincho" w:hAnsi="Calibri" w:cs="Calibri"/>
        </w:rPr>
      </w:pPr>
      <w:r w:rsidRPr="00372C6B">
        <w:rPr>
          <w:rFonts w:ascii="Calibri" w:eastAsia="MS Mincho" w:hAnsi="Calibri" w:cs="Calibri"/>
          <w:b/>
          <w:bCs/>
        </w:rPr>
        <w:t>Disturbance Monitoring and Reporting Requirements</w:t>
      </w:r>
      <w:r w:rsidR="00892E78" w:rsidRPr="00372C6B">
        <w:rPr>
          <w:rFonts w:ascii="Calibri" w:eastAsia="MS Mincho" w:hAnsi="Calibri" w:cs="Calibri"/>
        </w:rPr>
        <w:t xml:space="preserve"> </w:t>
      </w:r>
      <w:r w:rsidR="00892E78" w:rsidRPr="00372C6B">
        <w:rPr>
          <w:rFonts w:ascii="Calibri" w:eastAsia="MS Mincho" w:hAnsi="Calibri" w:cs="Calibri"/>
          <w:b/>
          <w:bCs/>
        </w:rPr>
        <w:t>(PRC-002-5)</w:t>
      </w:r>
      <w:r w:rsidR="00892E78" w:rsidRPr="00372C6B">
        <w:rPr>
          <w:rFonts w:ascii="Calibri" w:eastAsia="MS Mincho" w:hAnsi="Calibri" w:cs="Calibri"/>
        </w:rPr>
        <w:t>:</w:t>
      </w:r>
      <w:r w:rsidR="0042622D" w:rsidRPr="00372C6B">
        <w:rPr>
          <w:rFonts w:ascii="Calibri" w:eastAsia="MS Mincho" w:hAnsi="Calibri" w:cs="Calibri"/>
        </w:rPr>
        <w:t xml:space="preserve"> </w:t>
      </w:r>
      <w:r w:rsidR="00C60096" w:rsidRPr="00372C6B">
        <w:rPr>
          <w:rFonts w:ascii="Calibri" w:eastAsia="MS Mincho" w:hAnsi="Calibri" w:cs="Calibri"/>
        </w:rPr>
        <w:t xml:space="preserve">Ensures </w:t>
      </w:r>
      <w:r w:rsidR="00A607CD" w:rsidRPr="00372C6B">
        <w:rPr>
          <w:rFonts w:ascii="Calibri" w:eastAsia="MS Mincho" w:hAnsi="Calibri" w:cs="Calibri"/>
        </w:rPr>
        <w:t xml:space="preserve">that disturbance monitoring equipment is installed and maintained so operators can capture data during major system events. This supports reliability by enabling post-event analysis to understand system behavior and improve future planning. While it indirectly aids real-time </w:t>
      </w:r>
      <w:r w:rsidR="00FA283E" w:rsidRPr="00372C6B">
        <w:rPr>
          <w:rFonts w:ascii="Calibri" w:eastAsia="MS Mincho" w:hAnsi="Calibri" w:cs="Calibri"/>
        </w:rPr>
        <w:t xml:space="preserve">assessments and </w:t>
      </w:r>
      <w:r w:rsidR="00A607CD" w:rsidRPr="00372C6B">
        <w:rPr>
          <w:rFonts w:ascii="Calibri" w:eastAsia="MS Mincho" w:hAnsi="Calibri" w:cs="Calibri"/>
        </w:rPr>
        <w:t xml:space="preserve">stability through better modeling and lessons learned, the standard does not require continuous real-time stability monitoring or proactive oscillation detection, focusing instead on </w:t>
      </w:r>
      <w:r w:rsidR="00C60096" w:rsidRPr="00372C6B">
        <w:rPr>
          <w:rFonts w:ascii="Calibri" w:eastAsia="MS Mincho" w:hAnsi="Calibri" w:cs="Calibri"/>
        </w:rPr>
        <w:t>post event</w:t>
      </w:r>
      <w:r w:rsidR="00A607CD" w:rsidRPr="00372C6B">
        <w:rPr>
          <w:rFonts w:ascii="Calibri" w:eastAsia="MS Mincho" w:hAnsi="Calibri" w:cs="Calibri"/>
        </w:rPr>
        <w:t xml:space="preserve"> data collection</w:t>
      </w:r>
      <w:r w:rsidR="00106102" w:rsidRPr="00372C6B">
        <w:rPr>
          <w:rFonts w:ascii="Calibri" w:eastAsia="MS Mincho" w:hAnsi="Calibri" w:cs="Calibri"/>
        </w:rPr>
        <w:t>.</w:t>
      </w:r>
      <w:r w:rsidR="001F35F8" w:rsidRPr="00372C6B">
        <w:rPr>
          <w:rFonts w:ascii="Calibri" w:eastAsia="MS Mincho" w:hAnsi="Calibri" w:cs="Calibri"/>
        </w:rPr>
        <w:t xml:space="preserve"> Focus Area(s): Post </w:t>
      </w:r>
      <w:r w:rsidR="00DA2258" w:rsidRPr="00372C6B">
        <w:rPr>
          <w:rFonts w:ascii="Calibri" w:eastAsia="MS Mincho" w:hAnsi="Calibri" w:cs="Calibri"/>
        </w:rPr>
        <w:t>E</w:t>
      </w:r>
      <w:r w:rsidR="001F35F8" w:rsidRPr="00372C6B">
        <w:rPr>
          <w:rFonts w:ascii="Calibri" w:eastAsia="MS Mincho" w:hAnsi="Calibri" w:cs="Calibri"/>
        </w:rPr>
        <w:t xml:space="preserve">vent </w:t>
      </w:r>
      <w:r w:rsidR="00DA2258" w:rsidRPr="00372C6B">
        <w:rPr>
          <w:rFonts w:ascii="Calibri" w:eastAsia="MS Mincho" w:hAnsi="Calibri" w:cs="Calibri"/>
        </w:rPr>
        <w:t>D</w:t>
      </w:r>
      <w:r w:rsidR="001F35F8" w:rsidRPr="00372C6B">
        <w:rPr>
          <w:rFonts w:ascii="Calibri" w:eastAsia="MS Mincho" w:hAnsi="Calibri" w:cs="Calibri"/>
        </w:rPr>
        <w:t xml:space="preserve">ata for </w:t>
      </w:r>
      <w:r w:rsidR="00DA2258" w:rsidRPr="00372C6B">
        <w:rPr>
          <w:rFonts w:ascii="Calibri" w:eastAsia="MS Mincho" w:hAnsi="Calibri" w:cs="Calibri"/>
        </w:rPr>
        <w:t>S</w:t>
      </w:r>
      <w:r w:rsidR="001F35F8" w:rsidRPr="00372C6B">
        <w:rPr>
          <w:rFonts w:ascii="Calibri" w:eastAsia="MS Mincho" w:hAnsi="Calibri" w:cs="Calibri"/>
        </w:rPr>
        <w:t xml:space="preserve">tability </w:t>
      </w:r>
      <w:r w:rsidR="00DA2258" w:rsidRPr="00372C6B">
        <w:rPr>
          <w:rFonts w:ascii="Calibri" w:eastAsia="MS Mincho" w:hAnsi="Calibri" w:cs="Calibri"/>
        </w:rPr>
        <w:t>A</w:t>
      </w:r>
      <w:r w:rsidR="001F35F8" w:rsidRPr="00372C6B">
        <w:rPr>
          <w:rFonts w:ascii="Calibri" w:eastAsia="MS Mincho" w:hAnsi="Calibri" w:cs="Calibri"/>
        </w:rPr>
        <w:t>nalysis.</w:t>
      </w:r>
    </w:p>
    <w:p w14:paraId="2D442C94" w14:textId="2D667CC6" w:rsidR="002666CC" w:rsidRPr="00372C6B" w:rsidRDefault="002666CC">
      <w:pPr>
        <w:pStyle w:val="ListParagraph"/>
        <w:numPr>
          <w:ilvl w:val="0"/>
          <w:numId w:val="11"/>
        </w:numPr>
        <w:rPr>
          <w:rFonts w:ascii="Calibri" w:eastAsia="MS Mincho" w:hAnsi="Calibri" w:cs="Calibri"/>
        </w:rPr>
      </w:pPr>
      <w:r w:rsidRPr="00372C6B">
        <w:rPr>
          <w:rFonts w:ascii="Calibri" w:eastAsia="MS Mincho" w:hAnsi="Calibri" w:cs="Calibri"/>
          <w:b/>
          <w:bCs/>
        </w:rPr>
        <w:t>Remedial Action Schemes</w:t>
      </w:r>
      <w:r w:rsidR="00892E78" w:rsidRPr="00372C6B">
        <w:rPr>
          <w:rFonts w:ascii="Calibri" w:eastAsia="MS Mincho" w:hAnsi="Calibri" w:cs="Calibri"/>
        </w:rPr>
        <w:t xml:space="preserve"> </w:t>
      </w:r>
      <w:r w:rsidR="00892E78" w:rsidRPr="00372C6B">
        <w:rPr>
          <w:rFonts w:ascii="Calibri" w:eastAsia="MS Mincho" w:hAnsi="Calibri" w:cs="Calibri"/>
          <w:b/>
          <w:bCs/>
        </w:rPr>
        <w:t>(PRC-012-2)</w:t>
      </w:r>
      <w:r w:rsidR="00892E78" w:rsidRPr="00372C6B">
        <w:rPr>
          <w:rFonts w:ascii="Calibri" w:eastAsia="MS Mincho" w:hAnsi="Calibri" w:cs="Calibri"/>
        </w:rPr>
        <w:t>:</w:t>
      </w:r>
      <w:r w:rsidR="00915BF6" w:rsidRPr="00372C6B">
        <w:rPr>
          <w:rFonts w:ascii="Calibri" w:eastAsia="MS Mincho" w:hAnsi="Calibri" w:cs="Calibri"/>
        </w:rPr>
        <w:t xml:space="preserve"> Establishes criteria for designing and implementing </w:t>
      </w:r>
      <w:r w:rsidR="00C60096" w:rsidRPr="00372C6B">
        <w:rPr>
          <w:rFonts w:ascii="Calibri" w:eastAsia="MS Mincho" w:hAnsi="Calibri" w:cs="Calibri"/>
        </w:rPr>
        <w:t>Remedial Action Schemes (</w:t>
      </w:r>
      <w:r w:rsidR="00915BF6" w:rsidRPr="00372C6B">
        <w:rPr>
          <w:rFonts w:ascii="Calibri" w:eastAsia="MS Mincho" w:hAnsi="Calibri" w:cs="Calibri"/>
        </w:rPr>
        <w:t>RAS</w:t>
      </w:r>
      <w:r w:rsidR="00C60096" w:rsidRPr="00372C6B">
        <w:rPr>
          <w:rFonts w:ascii="Calibri" w:eastAsia="MS Mincho" w:hAnsi="Calibri" w:cs="Calibri"/>
        </w:rPr>
        <w:t>)</w:t>
      </w:r>
      <w:r w:rsidR="00915BF6" w:rsidRPr="00372C6B">
        <w:rPr>
          <w:rFonts w:ascii="Calibri" w:eastAsia="MS Mincho" w:hAnsi="Calibri" w:cs="Calibri"/>
        </w:rPr>
        <w:t>, directly mitigating cascading and uncontrolled separation during extreme events.</w:t>
      </w:r>
      <w:r w:rsidR="001F35F8" w:rsidRPr="00372C6B">
        <w:rPr>
          <w:rFonts w:ascii="Calibri" w:eastAsia="MS Mincho" w:hAnsi="Calibri" w:cs="Calibri"/>
        </w:rPr>
        <w:t xml:space="preserve"> Focus Area(s): RAS design.</w:t>
      </w:r>
    </w:p>
    <w:p w14:paraId="2B6EF4FF" w14:textId="188A7306" w:rsidR="002666CC" w:rsidRPr="00372C6B" w:rsidRDefault="002666CC">
      <w:pPr>
        <w:pStyle w:val="ListParagraph"/>
        <w:numPr>
          <w:ilvl w:val="0"/>
          <w:numId w:val="11"/>
        </w:numPr>
        <w:rPr>
          <w:rFonts w:ascii="Calibri" w:eastAsia="MS Mincho" w:hAnsi="Calibri" w:cs="Calibri"/>
        </w:rPr>
      </w:pPr>
      <w:r w:rsidRPr="00372C6B">
        <w:rPr>
          <w:rFonts w:ascii="Calibri" w:eastAsia="MS Mincho" w:hAnsi="Calibri" w:cs="Calibri"/>
          <w:b/>
          <w:bCs/>
        </w:rPr>
        <w:lastRenderedPageBreak/>
        <w:t>Transmission Relay Loadability</w:t>
      </w:r>
      <w:r w:rsidR="00892E78" w:rsidRPr="00372C6B">
        <w:rPr>
          <w:rFonts w:ascii="Calibri" w:eastAsia="MS Mincho" w:hAnsi="Calibri" w:cs="Calibri"/>
        </w:rPr>
        <w:t xml:space="preserve"> </w:t>
      </w:r>
      <w:r w:rsidR="00892E78" w:rsidRPr="00372C6B">
        <w:rPr>
          <w:rFonts w:ascii="Calibri" w:eastAsia="MS Mincho" w:hAnsi="Calibri" w:cs="Calibri"/>
          <w:b/>
          <w:bCs/>
        </w:rPr>
        <w:t>(PRC-023-6)</w:t>
      </w:r>
      <w:r w:rsidR="00892E78" w:rsidRPr="00372C6B">
        <w:rPr>
          <w:rFonts w:ascii="Calibri" w:eastAsia="MS Mincho" w:hAnsi="Calibri" w:cs="Calibri"/>
        </w:rPr>
        <w:t>:</w:t>
      </w:r>
      <w:r w:rsidR="00106102" w:rsidRPr="00372C6B">
        <w:rPr>
          <w:rFonts w:ascii="Calibri" w:eastAsia="MS Mincho" w:hAnsi="Calibri" w:cs="Calibri"/>
        </w:rPr>
        <w:t xml:space="preserve"> Ensures relay settings prevent unnecessary tripping, directly reducing cascading outages during high-load conditions.</w:t>
      </w:r>
      <w:r w:rsidR="001F35F8" w:rsidRPr="00372C6B">
        <w:rPr>
          <w:rFonts w:ascii="Calibri" w:eastAsia="MS Mincho" w:hAnsi="Calibri" w:cs="Calibri"/>
        </w:rPr>
        <w:t xml:space="preserve"> Focus Area(s): Relay Loadability.</w:t>
      </w:r>
    </w:p>
    <w:p w14:paraId="41DED545" w14:textId="7519AB45" w:rsidR="002666CC" w:rsidRPr="00372C6B" w:rsidRDefault="002666CC">
      <w:pPr>
        <w:pStyle w:val="ListParagraph"/>
        <w:numPr>
          <w:ilvl w:val="0"/>
          <w:numId w:val="11"/>
        </w:numPr>
        <w:rPr>
          <w:rFonts w:ascii="Calibri" w:eastAsia="MS Mincho" w:hAnsi="Calibri" w:cs="Calibri"/>
        </w:rPr>
      </w:pPr>
      <w:r w:rsidRPr="00372C6B">
        <w:rPr>
          <w:rFonts w:ascii="Calibri" w:eastAsia="MS Mincho" w:hAnsi="Calibri" w:cs="Calibri"/>
          <w:b/>
          <w:bCs/>
        </w:rPr>
        <w:t>Frequency and Voltage Protection Settings for Generating Resources</w:t>
      </w:r>
      <w:r w:rsidR="00892E78" w:rsidRPr="00372C6B">
        <w:rPr>
          <w:rFonts w:ascii="Calibri" w:eastAsia="MS Mincho" w:hAnsi="Calibri" w:cs="Calibri"/>
        </w:rPr>
        <w:t xml:space="preserve"> </w:t>
      </w:r>
      <w:r w:rsidR="00892E78" w:rsidRPr="00372C6B">
        <w:rPr>
          <w:rFonts w:ascii="Calibri" w:eastAsia="MS Mincho" w:hAnsi="Calibri" w:cs="Calibri"/>
          <w:b/>
          <w:bCs/>
        </w:rPr>
        <w:t>(PRC-024-3)</w:t>
      </w:r>
      <w:r w:rsidR="00892E78" w:rsidRPr="00372C6B">
        <w:rPr>
          <w:rFonts w:ascii="Calibri" w:eastAsia="MS Mincho" w:hAnsi="Calibri" w:cs="Calibri"/>
        </w:rPr>
        <w:t>:</w:t>
      </w:r>
      <w:r w:rsidR="00106102" w:rsidRPr="00372C6B">
        <w:rPr>
          <w:rFonts w:ascii="Calibri" w:eastAsia="MS Mincho" w:hAnsi="Calibri" w:cs="Calibri"/>
        </w:rPr>
        <w:t xml:space="preserve"> Requires generator protection settings to avoid premature disconnection, directly reducing uncontrolled separation during disturbances.</w:t>
      </w:r>
      <w:r w:rsidR="001F35F8" w:rsidRPr="00372C6B">
        <w:rPr>
          <w:rFonts w:ascii="Calibri" w:eastAsia="MS Mincho" w:hAnsi="Calibri" w:cs="Calibri"/>
        </w:rPr>
        <w:t xml:space="preserve"> Focus Area(s): Protection Settings.</w:t>
      </w:r>
    </w:p>
    <w:p w14:paraId="6B19C4C2" w14:textId="393E568F" w:rsidR="002C2C91" w:rsidRPr="00372C6B" w:rsidRDefault="002C2C91">
      <w:pPr>
        <w:pStyle w:val="ListParagraph"/>
        <w:numPr>
          <w:ilvl w:val="0"/>
          <w:numId w:val="11"/>
        </w:numPr>
        <w:rPr>
          <w:rFonts w:ascii="Calibri" w:eastAsia="MS Mincho" w:hAnsi="Calibri" w:cs="Calibri"/>
        </w:rPr>
      </w:pPr>
      <w:r w:rsidRPr="00372C6B">
        <w:rPr>
          <w:rFonts w:ascii="Calibri" w:eastAsia="MS Mincho" w:hAnsi="Calibri" w:cs="Calibri"/>
          <w:b/>
          <w:bCs/>
        </w:rPr>
        <w:t>Disturbance Monitoring and Reporting Requirements for Inverter-Based Resources</w:t>
      </w:r>
      <w:r w:rsidR="0042622D" w:rsidRPr="00372C6B">
        <w:rPr>
          <w:rFonts w:ascii="Calibri" w:eastAsia="MS Mincho" w:hAnsi="Calibri" w:cs="Calibri"/>
        </w:rPr>
        <w:t xml:space="preserve"> </w:t>
      </w:r>
      <w:r w:rsidR="0042622D" w:rsidRPr="00372C6B">
        <w:rPr>
          <w:rFonts w:ascii="Calibri" w:eastAsia="MS Mincho" w:hAnsi="Calibri" w:cs="Calibri"/>
          <w:b/>
          <w:bCs/>
        </w:rPr>
        <w:t>(PRC-028-1)</w:t>
      </w:r>
      <w:r w:rsidR="0042622D" w:rsidRPr="00372C6B">
        <w:rPr>
          <w:rFonts w:ascii="Calibri" w:eastAsia="MS Mincho" w:hAnsi="Calibri" w:cs="Calibri"/>
        </w:rPr>
        <w:t>:</w:t>
      </w:r>
      <w:r w:rsidR="00106102" w:rsidRPr="00372C6B">
        <w:rPr>
          <w:rFonts w:ascii="Calibri" w:eastAsia="MS Mincho" w:hAnsi="Calibri" w:cs="Calibri"/>
        </w:rPr>
        <w:t xml:space="preserve"> </w:t>
      </w:r>
      <w:r w:rsidR="00F24FFD" w:rsidRPr="00372C6B">
        <w:rPr>
          <w:rFonts w:ascii="Calibri" w:eastAsia="MS Mincho" w:hAnsi="Calibri" w:cs="Calibri"/>
        </w:rPr>
        <w:t>F</w:t>
      </w:r>
      <w:r w:rsidR="00F005AF" w:rsidRPr="00372C6B">
        <w:rPr>
          <w:rFonts w:ascii="Calibri" w:eastAsia="MS Mincho" w:hAnsi="Calibri" w:cs="Calibri"/>
        </w:rPr>
        <w:t>ocused on ensuring disturbance monitoring and ride-through performance for IBRs, strengthening grid stability during system events. It introduces specific requirements for collecting disturbance data from IBRs</w:t>
      </w:r>
      <w:r w:rsidR="00FA283E" w:rsidRPr="00372C6B">
        <w:rPr>
          <w:rFonts w:ascii="Calibri" w:eastAsia="MS Mincho" w:hAnsi="Calibri" w:cs="Calibri"/>
        </w:rPr>
        <w:t xml:space="preserve"> to improve visibility of IBR behavior during faults/oscillations and support model validation, complementing real</w:t>
      </w:r>
      <w:r w:rsidR="00FA283E" w:rsidRPr="00372C6B">
        <w:rPr>
          <w:rFonts w:ascii="Cambria Math" w:eastAsia="MS Mincho" w:hAnsi="Cambria Math" w:cs="Cambria Math"/>
        </w:rPr>
        <w:t>‑</w:t>
      </w:r>
      <w:r w:rsidR="00FA283E" w:rsidRPr="00372C6B">
        <w:rPr>
          <w:rFonts w:ascii="Calibri" w:eastAsia="MS Mincho" w:hAnsi="Calibri" w:cs="Calibri"/>
        </w:rPr>
        <w:t>time assessments with more precise IBR data.</w:t>
      </w:r>
      <w:r w:rsidR="00F005AF" w:rsidRPr="00372C6B">
        <w:rPr>
          <w:rFonts w:ascii="Calibri" w:eastAsia="MS Mincho" w:hAnsi="Calibri" w:cs="Calibri"/>
        </w:rPr>
        <w:t xml:space="preserve"> </w:t>
      </w:r>
      <w:r w:rsidR="00FA283E" w:rsidRPr="00372C6B">
        <w:rPr>
          <w:rFonts w:ascii="Calibri" w:eastAsia="MS Mincho" w:hAnsi="Calibri" w:cs="Calibri"/>
        </w:rPr>
        <w:t xml:space="preserve">This addresses </w:t>
      </w:r>
      <w:r w:rsidR="00F005AF" w:rsidRPr="00372C6B">
        <w:rPr>
          <w:rFonts w:ascii="Calibri" w:eastAsia="MS Mincho" w:hAnsi="Calibri" w:cs="Calibri"/>
        </w:rPr>
        <w:t>gaps left by earlier standards that applied primarily to synchronous resources</w:t>
      </w:r>
      <w:r w:rsidR="00106102" w:rsidRPr="00372C6B">
        <w:rPr>
          <w:rFonts w:ascii="Calibri" w:eastAsia="MS Mincho" w:hAnsi="Calibri" w:cs="Calibri"/>
        </w:rPr>
        <w:t>.</w:t>
      </w:r>
      <w:r w:rsidR="001F35F8" w:rsidRPr="00372C6B">
        <w:rPr>
          <w:rFonts w:ascii="Calibri" w:eastAsia="MS Mincho" w:hAnsi="Calibri" w:cs="Calibri"/>
        </w:rPr>
        <w:t xml:space="preserve"> Focus Area(s): IBR </w:t>
      </w:r>
      <w:r w:rsidR="00DA2258" w:rsidRPr="00372C6B">
        <w:rPr>
          <w:rFonts w:ascii="Calibri" w:eastAsia="MS Mincho" w:hAnsi="Calibri" w:cs="Calibri"/>
        </w:rPr>
        <w:t>E</w:t>
      </w:r>
      <w:r w:rsidR="001F35F8" w:rsidRPr="00372C6B">
        <w:rPr>
          <w:rFonts w:ascii="Calibri" w:eastAsia="MS Mincho" w:hAnsi="Calibri" w:cs="Calibri"/>
        </w:rPr>
        <w:t xml:space="preserve">vent </w:t>
      </w:r>
      <w:r w:rsidR="00DA2258" w:rsidRPr="00372C6B">
        <w:rPr>
          <w:rFonts w:ascii="Calibri" w:eastAsia="MS Mincho" w:hAnsi="Calibri" w:cs="Calibri"/>
        </w:rPr>
        <w:t>D</w:t>
      </w:r>
      <w:r w:rsidR="001F35F8" w:rsidRPr="00372C6B">
        <w:rPr>
          <w:rFonts w:ascii="Calibri" w:eastAsia="MS Mincho" w:hAnsi="Calibri" w:cs="Calibri"/>
        </w:rPr>
        <w:t xml:space="preserve">ata for </w:t>
      </w:r>
      <w:r w:rsidR="00DA2258" w:rsidRPr="00372C6B">
        <w:rPr>
          <w:rFonts w:ascii="Calibri" w:eastAsia="MS Mincho" w:hAnsi="Calibri" w:cs="Calibri"/>
        </w:rPr>
        <w:t>R</w:t>
      </w:r>
      <w:r w:rsidR="001F35F8" w:rsidRPr="00372C6B">
        <w:rPr>
          <w:rFonts w:ascii="Calibri" w:eastAsia="MS Mincho" w:hAnsi="Calibri" w:cs="Calibri"/>
        </w:rPr>
        <w:t>eal</w:t>
      </w:r>
      <w:r w:rsidR="00DA2258" w:rsidRPr="00372C6B">
        <w:rPr>
          <w:rFonts w:ascii="Calibri" w:eastAsia="MS Mincho" w:hAnsi="Calibri" w:cs="Calibri"/>
        </w:rPr>
        <w:t>-</w:t>
      </w:r>
      <w:r w:rsidR="001F35F8" w:rsidRPr="00372C6B">
        <w:rPr>
          <w:rFonts w:ascii="Calibri" w:eastAsia="MS Mincho" w:hAnsi="Calibri" w:cs="Calibri"/>
        </w:rPr>
        <w:t xml:space="preserve">time </w:t>
      </w:r>
      <w:r w:rsidR="00DA2258" w:rsidRPr="00372C6B">
        <w:rPr>
          <w:rFonts w:ascii="Calibri" w:eastAsia="MS Mincho" w:hAnsi="Calibri" w:cs="Calibri"/>
        </w:rPr>
        <w:t>V</w:t>
      </w:r>
      <w:r w:rsidR="001F35F8" w:rsidRPr="00372C6B">
        <w:rPr>
          <w:rFonts w:ascii="Calibri" w:eastAsia="MS Mincho" w:hAnsi="Calibri" w:cs="Calibri"/>
        </w:rPr>
        <w:t xml:space="preserve">isibility &amp; </w:t>
      </w:r>
      <w:r w:rsidR="00DA2258" w:rsidRPr="00372C6B">
        <w:rPr>
          <w:rFonts w:ascii="Calibri" w:eastAsia="MS Mincho" w:hAnsi="Calibri" w:cs="Calibri"/>
        </w:rPr>
        <w:t>M</w:t>
      </w:r>
      <w:r w:rsidR="001F35F8" w:rsidRPr="00372C6B">
        <w:rPr>
          <w:rFonts w:ascii="Calibri" w:eastAsia="MS Mincho" w:hAnsi="Calibri" w:cs="Calibri"/>
        </w:rPr>
        <w:t xml:space="preserve">odel </w:t>
      </w:r>
      <w:r w:rsidR="00DA2258" w:rsidRPr="00372C6B">
        <w:rPr>
          <w:rFonts w:ascii="Calibri" w:eastAsia="MS Mincho" w:hAnsi="Calibri" w:cs="Calibri"/>
        </w:rPr>
        <w:t>V</w:t>
      </w:r>
      <w:r w:rsidR="001F35F8" w:rsidRPr="00372C6B">
        <w:rPr>
          <w:rFonts w:ascii="Calibri" w:eastAsia="MS Mincho" w:hAnsi="Calibri" w:cs="Calibri"/>
        </w:rPr>
        <w:t>alidation.</w:t>
      </w:r>
    </w:p>
    <w:p w14:paraId="566FCCD2" w14:textId="24E2C981" w:rsidR="002C2C91" w:rsidRPr="00372C6B" w:rsidRDefault="002C2C91">
      <w:pPr>
        <w:pStyle w:val="ListParagraph"/>
        <w:numPr>
          <w:ilvl w:val="0"/>
          <w:numId w:val="11"/>
        </w:numPr>
        <w:rPr>
          <w:rFonts w:ascii="Calibri" w:eastAsia="MS Mincho" w:hAnsi="Calibri" w:cs="Calibri"/>
        </w:rPr>
      </w:pPr>
      <w:r w:rsidRPr="00372C6B">
        <w:rPr>
          <w:rFonts w:ascii="Calibri" w:eastAsia="MS Mincho" w:hAnsi="Calibri" w:cs="Calibri"/>
          <w:b/>
          <w:bCs/>
        </w:rPr>
        <w:t>Frequency and Voltage Ride-through Requirements for Inverter-based Resources</w:t>
      </w:r>
      <w:r w:rsidR="0042622D" w:rsidRPr="00372C6B">
        <w:rPr>
          <w:rFonts w:ascii="Calibri" w:eastAsia="MS Mincho" w:hAnsi="Calibri" w:cs="Calibri"/>
        </w:rPr>
        <w:t xml:space="preserve"> </w:t>
      </w:r>
      <w:r w:rsidR="0042622D" w:rsidRPr="00372C6B">
        <w:rPr>
          <w:rFonts w:ascii="Calibri" w:eastAsia="MS Mincho" w:hAnsi="Calibri" w:cs="Calibri"/>
          <w:b/>
          <w:bCs/>
        </w:rPr>
        <w:t>(PRC-029-1)</w:t>
      </w:r>
      <w:r w:rsidR="0042622D" w:rsidRPr="00372C6B">
        <w:rPr>
          <w:rFonts w:ascii="Calibri" w:eastAsia="MS Mincho" w:hAnsi="Calibri" w:cs="Calibri"/>
        </w:rPr>
        <w:t>:</w:t>
      </w:r>
      <w:r w:rsidR="00106102" w:rsidRPr="00372C6B">
        <w:rPr>
          <w:rFonts w:ascii="Calibri" w:eastAsia="MS Mincho" w:hAnsi="Calibri" w:cs="Calibri"/>
        </w:rPr>
        <w:t xml:space="preserve"> </w:t>
      </w:r>
      <w:r w:rsidR="00F24FFD" w:rsidRPr="00372C6B">
        <w:rPr>
          <w:rFonts w:ascii="Calibri" w:eastAsia="MS Mincho" w:hAnsi="Calibri" w:cs="Calibri"/>
        </w:rPr>
        <w:t>F</w:t>
      </w:r>
      <w:r w:rsidR="00F005AF" w:rsidRPr="00372C6B">
        <w:rPr>
          <w:rFonts w:ascii="Calibri" w:eastAsia="MS Mincho" w:hAnsi="Calibri" w:cs="Calibri"/>
        </w:rPr>
        <w:t>ocuses on ensuring that protection systems for IBRs are properly coordinated to prevent unnecessary tripping during system disturbances. By improving protection coordination, this standard helps maintain resource availability and supports grid stability under abnormal conditions. However, it does not address real-time stability monitoring or dynamic oscillation detection. Its scope is limited to protection system settings and coordination.</w:t>
      </w:r>
      <w:r w:rsidR="001F35F8" w:rsidRPr="00372C6B">
        <w:rPr>
          <w:rFonts w:ascii="Calibri" w:eastAsia="MS Mincho" w:hAnsi="Calibri" w:cs="Calibri"/>
        </w:rPr>
        <w:t xml:space="preserve"> Focus Area(s): IBR </w:t>
      </w:r>
      <w:r w:rsidR="00DA2258" w:rsidRPr="00372C6B">
        <w:rPr>
          <w:rFonts w:ascii="Calibri" w:eastAsia="MS Mincho" w:hAnsi="Calibri" w:cs="Calibri"/>
        </w:rPr>
        <w:t>S</w:t>
      </w:r>
      <w:r w:rsidR="001F35F8" w:rsidRPr="00372C6B">
        <w:rPr>
          <w:rFonts w:ascii="Calibri" w:eastAsia="MS Mincho" w:hAnsi="Calibri" w:cs="Calibri"/>
        </w:rPr>
        <w:t xml:space="preserve">tability </w:t>
      </w:r>
      <w:r w:rsidR="00DA2258" w:rsidRPr="00372C6B">
        <w:rPr>
          <w:rFonts w:ascii="Calibri" w:eastAsia="MS Mincho" w:hAnsi="Calibri" w:cs="Calibri"/>
        </w:rPr>
        <w:t>P</w:t>
      </w:r>
      <w:r w:rsidR="001F35F8" w:rsidRPr="00372C6B">
        <w:rPr>
          <w:rFonts w:ascii="Calibri" w:eastAsia="MS Mincho" w:hAnsi="Calibri" w:cs="Calibri"/>
        </w:rPr>
        <w:t xml:space="preserve">erformance </w:t>
      </w:r>
      <w:r w:rsidR="00DA2258" w:rsidRPr="00372C6B">
        <w:rPr>
          <w:rFonts w:ascii="Calibri" w:eastAsia="MS Mincho" w:hAnsi="Calibri" w:cs="Calibri"/>
        </w:rPr>
        <w:t>D</w:t>
      </w:r>
      <w:r w:rsidR="001F35F8" w:rsidRPr="00372C6B">
        <w:rPr>
          <w:rFonts w:ascii="Calibri" w:eastAsia="MS Mincho" w:hAnsi="Calibri" w:cs="Calibri"/>
        </w:rPr>
        <w:t xml:space="preserve">uring </w:t>
      </w:r>
      <w:r w:rsidR="00DA2258" w:rsidRPr="00372C6B">
        <w:rPr>
          <w:rFonts w:ascii="Calibri" w:eastAsia="MS Mincho" w:hAnsi="Calibri" w:cs="Calibri"/>
        </w:rPr>
        <w:t>D</w:t>
      </w:r>
      <w:r w:rsidR="001F35F8" w:rsidRPr="00372C6B">
        <w:rPr>
          <w:rFonts w:ascii="Calibri" w:eastAsia="MS Mincho" w:hAnsi="Calibri" w:cs="Calibri"/>
        </w:rPr>
        <w:t>isturbances.</w:t>
      </w:r>
    </w:p>
    <w:p w14:paraId="56927FA7" w14:textId="732C6C92" w:rsidR="002C2C91" w:rsidRPr="00372C6B" w:rsidRDefault="002C2C91">
      <w:pPr>
        <w:pStyle w:val="ListParagraph"/>
        <w:numPr>
          <w:ilvl w:val="0"/>
          <w:numId w:val="11"/>
        </w:numPr>
        <w:rPr>
          <w:rFonts w:ascii="Calibri" w:eastAsia="MS Mincho" w:hAnsi="Calibri" w:cs="Calibri"/>
        </w:rPr>
      </w:pPr>
      <w:r w:rsidRPr="00372C6B">
        <w:rPr>
          <w:rFonts w:ascii="Calibri" w:eastAsia="MS Mincho" w:hAnsi="Calibri" w:cs="Calibri"/>
          <w:b/>
          <w:bCs/>
        </w:rPr>
        <w:t>Transmission Operations</w:t>
      </w:r>
      <w:r w:rsidR="0042622D" w:rsidRPr="00372C6B">
        <w:rPr>
          <w:rFonts w:ascii="Calibri" w:eastAsia="MS Mincho" w:hAnsi="Calibri" w:cs="Calibri"/>
        </w:rPr>
        <w:t xml:space="preserve"> </w:t>
      </w:r>
      <w:r w:rsidR="0042622D" w:rsidRPr="00372C6B">
        <w:rPr>
          <w:rFonts w:ascii="Calibri" w:eastAsia="MS Mincho" w:hAnsi="Calibri" w:cs="Calibri"/>
          <w:b/>
          <w:bCs/>
        </w:rPr>
        <w:t>(TOP-001-6)</w:t>
      </w:r>
      <w:r w:rsidR="0042622D" w:rsidRPr="00372C6B">
        <w:rPr>
          <w:rFonts w:ascii="Calibri" w:eastAsia="MS Mincho" w:hAnsi="Calibri" w:cs="Calibri"/>
        </w:rPr>
        <w:t>:</w:t>
      </w:r>
      <w:r w:rsidR="00915BF6" w:rsidRPr="00372C6B">
        <w:rPr>
          <w:rFonts w:ascii="Calibri" w:eastAsia="MS Mincho" w:hAnsi="Calibri" w:cs="Calibri"/>
        </w:rPr>
        <w:t xml:space="preserve"> </w:t>
      </w:r>
      <w:r w:rsidR="00300BE2" w:rsidRPr="00372C6B">
        <w:rPr>
          <w:rFonts w:ascii="Calibri" w:eastAsia="MS Mincho" w:hAnsi="Calibri" w:cs="Calibri"/>
        </w:rPr>
        <w:t xml:space="preserve">Establishes the operational responsibilities of </w:t>
      </w:r>
      <w:r w:rsidR="00F24FFD" w:rsidRPr="00372C6B">
        <w:rPr>
          <w:rFonts w:ascii="Calibri" w:eastAsia="MS Mincho" w:hAnsi="Calibri" w:cs="Calibri"/>
        </w:rPr>
        <w:t xml:space="preserve">TOs </w:t>
      </w:r>
      <w:r w:rsidR="00300BE2" w:rsidRPr="00372C6B">
        <w:rPr>
          <w:rFonts w:ascii="Calibri" w:eastAsia="MS Mincho" w:hAnsi="Calibri" w:cs="Calibri"/>
        </w:rPr>
        <w:t xml:space="preserve">to maintain the transmission system within SOLs and IROLs during real-time operations. By enforcing adherence to these limits, the standard directly supports real-time stability, mitigates the risk of cascading outages and uncontrolled separation, and ensures coordinated actions that preserve system reliability. It also underpins the execution of operating plans and indirectly contributes to oscillation damping and control by maintaining system conditions within safe boundaries. However, </w:t>
      </w:r>
      <w:r w:rsidR="00F24FFD" w:rsidRPr="00372C6B">
        <w:rPr>
          <w:rFonts w:ascii="Calibri" w:eastAsia="MS Mincho" w:hAnsi="Calibri" w:cs="Calibri"/>
        </w:rPr>
        <w:t>the standard</w:t>
      </w:r>
      <w:r w:rsidR="00300BE2" w:rsidRPr="00372C6B">
        <w:rPr>
          <w:rFonts w:ascii="Calibri" w:eastAsia="MS Mincho" w:hAnsi="Calibri" w:cs="Calibri"/>
        </w:rPr>
        <w:t xml:space="preserve"> does not mandate continuous real-time stability or oscillation monitoring, nor does it require </w:t>
      </w:r>
      <w:r w:rsidR="00F24FFD" w:rsidRPr="00372C6B">
        <w:rPr>
          <w:rFonts w:ascii="Calibri" w:eastAsia="MS Mincho" w:hAnsi="Calibri" w:cs="Calibri"/>
        </w:rPr>
        <w:t>TOs</w:t>
      </w:r>
      <w:r w:rsidR="00300BE2" w:rsidRPr="00372C6B">
        <w:rPr>
          <w:rFonts w:ascii="Calibri" w:eastAsia="MS Mincho" w:hAnsi="Calibri" w:cs="Calibri"/>
        </w:rPr>
        <w:t xml:space="preserve"> to perform or validate SOL assessments, those responsibilities typically fall under other standards and entities. This gap means that while this standard is critical for operational compliance, it does not provide a comprehensive framework for proactive stability management or dynamic oscillation control.</w:t>
      </w:r>
      <w:r w:rsidR="001F35F8" w:rsidRPr="00372C6B">
        <w:rPr>
          <w:rFonts w:ascii="Calibri" w:eastAsia="MS Mincho" w:hAnsi="Calibri" w:cs="Calibri"/>
        </w:rPr>
        <w:t xml:space="preserve"> Focus Area(s): Transmission Operations.</w:t>
      </w:r>
    </w:p>
    <w:p w14:paraId="7EDD80B3" w14:textId="127E0DF3" w:rsidR="002C2C91" w:rsidRPr="00372C6B" w:rsidRDefault="002C2C91">
      <w:pPr>
        <w:pStyle w:val="ListParagraph"/>
        <w:numPr>
          <w:ilvl w:val="0"/>
          <w:numId w:val="11"/>
        </w:numPr>
        <w:rPr>
          <w:rFonts w:ascii="Calibri" w:eastAsia="MS Mincho" w:hAnsi="Calibri" w:cs="Calibri"/>
        </w:rPr>
      </w:pPr>
      <w:r w:rsidRPr="00372C6B">
        <w:rPr>
          <w:rFonts w:ascii="Calibri" w:eastAsia="MS Mincho" w:hAnsi="Calibri" w:cs="Calibri"/>
          <w:b/>
          <w:bCs/>
        </w:rPr>
        <w:t>Operations Planning</w:t>
      </w:r>
      <w:r w:rsidR="0042622D" w:rsidRPr="00372C6B">
        <w:rPr>
          <w:rFonts w:ascii="Calibri" w:eastAsia="MS Mincho" w:hAnsi="Calibri" w:cs="Calibri"/>
        </w:rPr>
        <w:t xml:space="preserve"> </w:t>
      </w:r>
      <w:r w:rsidR="0042622D" w:rsidRPr="00372C6B">
        <w:rPr>
          <w:rFonts w:ascii="Calibri" w:eastAsia="MS Mincho" w:hAnsi="Calibri" w:cs="Calibri"/>
          <w:b/>
          <w:bCs/>
        </w:rPr>
        <w:t>(TOP-002-5)</w:t>
      </w:r>
      <w:r w:rsidR="0042622D" w:rsidRPr="00372C6B">
        <w:rPr>
          <w:rFonts w:ascii="Calibri" w:eastAsia="MS Mincho" w:hAnsi="Calibri" w:cs="Calibri"/>
        </w:rPr>
        <w:t>:</w:t>
      </w:r>
      <w:r w:rsidR="00915BF6" w:rsidRPr="00372C6B">
        <w:rPr>
          <w:rFonts w:ascii="Calibri" w:eastAsia="MS Mincho" w:hAnsi="Calibri" w:cs="Calibri"/>
        </w:rPr>
        <w:t xml:space="preserve"> </w:t>
      </w:r>
      <w:r w:rsidR="007F3BC8" w:rsidRPr="00372C6B">
        <w:rPr>
          <w:rFonts w:ascii="Calibri" w:eastAsia="MS Mincho" w:hAnsi="Calibri" w:cs="Calibri"/>
        </w:rPr>
        <w:t xml:space="preserve">Requires TOs to develop and implement operating plans that ensure reliable operations under expected system conditions and contingencies. These plans must consider SOLs and IROLs, providing a proactive approach to reduce the risk of exceedances and cascading outages. While the standard </w:t>
      </w:r>
      <w:r w:rsidR="007F3BC8" w:rsidRPr="00372C6B">
        <w:rPr>
          <w:rFonts w:ascii="Calibri" w:eastAsia="MS Mincho" w:hAnsi="Calibri" w:cs="Calibri"/>
        </w:rPr>
        <w:lastRenderedPageBreak/>
        <w:t>focuses on planning for reliability and shaping operating strategies, it does not mandate real-time or near-term SOL assessments or dynamic stability monitoring</w:t>
      </w:r>
      <w:r w:rsidR="00106102" w:rsidRPr="00372C6B">
        <w:rPr>
          <w:rFonts w:ascii="Calibri" w:eastAsia="MS Mincho" w:hAnsi="Calibri" w:cs="Calibri"/>
        </w:rPr>
        <w:t>.</w:t>
      </w:r>
      <w:r w:rsidR="001F35F8" w:rsidRPr="00372C6B">
        <w:rPr>
          <w:rFonts w:ascii="Calibri" w:eastAsia="MS Mincho" w:hAnsi="Calibri" w:cs="Calibri"/>
        </w:rPr>
        <w:t xml:space="preserve"> Focus Area(s): Operations Planning.</w:t>
      </w:r>
    </w:p>
    <w:p w14:paraId="3D894013" w14:textId="39E7D3B7" w:rsidR="00BE700A" w:rsidRPr="00372C6B" w:rsidRDefault="00766A76">
      <w:pPr>
        <w:pStyle w:val="ListParagraph"/>
        <w:numPr>
          <w:ilvl w:val="0"/>
          <w:numId w:val="11"/>
        </w:numPr>
        <w:rPr>
          <w:rFonts w:ascii="Calibri" w:eastAsia="MS Mincho" w:hAnsi="Calibri" w:cs="Calibri"/>
        </w:rPr>
      </w:pPr>
      <w:r w:rsidRPr="00372C6B">
        <w:rPr>
          <w:rFonts w:ascii="Calibri" w:eastAsia="MS Mincho" w:hAnsi="Calibri" w:cs="Calibri"/>
          <w:b/>
          <w:bCs/>
        </w:rPr>
        <w:t xml:space="preserve">Transmission Operator and Balancing Authority </w:t>
      </w:r>
      <w:r w:rsidR="008C08FE" w:rsidRPr="00372C6B">
        <w:rPr>
          <w:rFonts w:ascii="Calibri" w:eastAsia="MS Mincho" w:hAnsi="Calibri" w:cs="Calibri"/>
          <w:b/>
          <w:bCs/>
        </w:rPr>
        <w:t xml:space="preserve">(BA) </w:t>
      </w:r>
      <w:r w:rsidRPr="00372C6B">
        <w:rPr>
          <w:rFonts w:ascii="Calibri" w:eastAsia="MS Mincho" w:hAnsi="Calibri" w:cs="Calibri"/>
          <w:b/>
          <w:bCs/>
        </w:rPr>
        <w:t xml:space="preserve">Data and Information Specification and Collection </w:t>
      </w:r>
      <w:r w:rsidR="002B20E7" w:rsidRPr="00372C6B">
        <w:rPr>
          <w:rFonts w:ascii="Calibri" w:eastAsia="MS Mincho" w:hAnsi="Calibri" w:cs="Calibri"/>
          <w:b/>
          <w:bCs/>
        </w:rPr>
        <w:t>(TOP-003</w:t>
      </w:r>
      <w:r w:rsidR="00FA4117" w:rsidRPr="00372C6B">
        <w:rPr>
          <w:rFonts w:ascii="Calibri" w:eastAsia="MS Mincho" w:hAnsi="Calibri" w:cs="Calibri"/>
          <w:b/>
          <w:bCs/>
        </w:rPr>
        <w:t>-8</w:t>
      </w:r>
      <w:r w:rsidR="002B20E7" w:rsidRPr="00372C6B">
        <w:rPr>
          <w:rFonts w:ascii="Calibri" w:eastAsia="MS Mincho" w:hAnsi="Calibri" w:cs="Calibri"/>
          <w:b/>
          <w:bCs/>
        </w:rPr>
        <w:t>)</w:t>
      </w:r>
      <w:r w:rsidR="002B20E7" w:rsidRPr="00372C6B">
        <w:rPr>
          <w:rFonts w:ascii="Calibri" w:eastAsia="MS Mincho" w:hAnsi="Calibri" w:cs="Calibri"/>
        </w:rPr>
        <w:t xml:space="preserve">: </w:t>
      </w:r>
      <w:r w:rsidR="00BD1BF5" w:rsidRPr="00372C6B">
        <w:rPr>
          <w:rFonts w:ascii="Calibri" w:eastAsia="MS Mincho" w:hAnsi="Calibri" w:cs="Calibri"/>
        </w:rPr>
        <w:t xml:space="preserve">Supports real-time stability monitoring by ensuring </w:t>
      </w:r>
      <w:r w:rsidR="00BE700A" w:rsidRPr="00372C6B">
        <w:rPr>
          <w:rFonts w:ascii="Calibri" w:eastAsia="MS Mincho" w:hAnsi="Calibri" w:cs="Calibri"/>
        </w:rPr>
        <w:t>TO</w:t>
      </w:r>
      <w:r w:rsidR="008C08FE" w:rsidRPr="00372C6B">
        <w:rPr>
          <w:rFonts w:ascii="Calibri" w:eastAsia="MS Mincho" w:hAnsi="Calibri" w:cs="Calibri"/>
        </w:rPr>
        <w:t>P</w:t>
      </w:r>
      <w:r w:rsidR="00BE700A" w:rsidRPr="00372C6B">
        <w:rPr>
          <w:rFonts w:ascii="Calibri" w:eastAsia="MS Mincho" w:hAnsi="Calibri" w:cs="Calibri"/>
        </w:rPr>
        <w:t xml:space="preserve">’s and BA’s </w:t>
      </w:r>
      <w:r w:rsidR="00BD1BF5" w:rsidRPr="00372C6B">
        <w:rPr>
          <w:rFonts w:ascii="Calibri" w:eastAsia="MS Mincho" w:hAnsi="Calibri" w:cs="Calibri"/>
        </w:rPr>
        <w:t>receive accurate, validated, and timely data (such as telemetry, facility ratings, topology, and generation information) needed for reliable real-time analysis. This high</w:t>
      </w:r>
      <w:r w:rsidR="00BD1BF5" w:rsidRPr="00372C6B">
        <w:rPr>
          <w:rFonts w:ascii="Cambria Math" w:eastAsia="MS Mincho" w:hAnsi="Cambria Math" w:cs="Cambria Math"/>
        </w:rPr>
        <w:t>‑</w:t>
      </w:r>
      <w:r w:rsidR="00BD1BF5" w:rsidRPr="00372C6B">
        <w:rPr>
          <w:rFonts w:ascii="Calibri" w:eastAsia="MS Mincho" w:hAnsi="Calibri" w:cs="Calibri"/>
        </w:rPr>
        <w:t>quality data enables state estimation, contingency analysis, and voltage or oscillation monitoring tools to function correctly, helping operators identify emerging reliability risks. By providing complete and dependable inputs to these applications, TOP</w:t>
      </w:r>
      <w:r w:rsidR="00BD1BF5" w:rsidRPr="00372C6B">
        <w:rPr>
          <w:rFonts w:ascii="Cambria Math" w:eastAsia="MS Mincho" w:hAnsi="Cambria Math" w:cs="Cambria Math"/>
        </w:rPr>
        <w:t>‑</w:t>
      </w:r>
      <w:r w:rsidR="00BD1BF5" w:rsidRPr="00372C6B">
        <w:rPr>
          <w:rFonts w:ascii="Calibri" w:eastAsia="MS Mincho" w:hAnsi="Calibri" w:cs="Calibri"/>
        </w:rPr>
        <w:t>003 directly contributes to maintaining situational awareness for real</w:t>
      </w:r>
      <w:r w:rsidR="00BD1BF5" w:rsidRPr="00372C6B">
        <w:rPr>
          <w:rFonts w:ascii="Cambria Math" w:eastAsia="MS Mincho" w:hAnsi="Cambria Math" w:cs="Cambria Math"/>
        </w:rPr>
        <w:t>‑</w:t>
      </w:r>
      <w:r w:rsidR="00BD1BF5" w:rsidRPr="00372C6B">
        <w:rPr>
          <w:rFonts w:ascii="Calibri" w:eastAsia="MS Mincho" w:hAnsi="Calibri" w:cs="Calibri"/>
        </w:rPr>
        <w:t>time operations and supports proactive decision</w:t>
      </w:r>
      <w:r w:rsidR="00BD1BF5" w:rsidRPr="00372C6B">
        <w:rPr>
          <w:rFonts w:ascii="Cambria Math" w:eastAsia="MS Mincho" w:hAnsi="Cambria Math" w:cs="Cambria Math"/>
        </w:rPr>
        <w:t>‑</w:t>
      </w:r>
      <w:r w:rsidR="00BD1BF5" w:rsidRPr="00372C6B">
        <w:rPr>
          <w:rFonts w:ascii="Calibri" w:eastAsia="MS Mincho" w:hAnsi="Calibri" w:cs="Calibri"/>
        </w:rPr>
        <w:t>making to preserve system stability.</w:t>
      </w:r>
      <w:r w:rsidR="003A1D5B" w:rsidRPr="00372C6B">
        <w:rPr>
          <w:rFonts w:ascii="Calibri" w:eastAsia="MS Mincho" w:hAnsi="Calibri" w:cs="Calibri"/>
        </w:rPr>
        <w:t xml:space="preserve"> Focus Area(s): Operational Reliability Data Management for Real-time Operations. </w:t>
      </w:r>
    </w:p>
    <w:p w14:paraId="44B3EE6F" w14:textId="1265E809" w:rsidR="002C2C91" w:rsidRPr="00372C6B" w:rsidRDefault="002C2C91">
      <w:pPr>
        <w:pStyle w:val="ListParagraph"/>
        <w:numPr>
          <w:ilvl w:val="0"/>
          <w:numId w:val="11"/>
        </w:numPr>
        <w:rPr>
          <w:rFonts w:ascii="Calibri" w:eastAsia="MS Mincho" w:hAnsi="Calibri" w:cs="Calibri"/>
        </w:rPr>
      </w:pPr>
      <w:r w:rsidRPr="00372C6B">
        <w:rPr>
          <w:rFonts w:ascii="Calibri" w:eastAsia="MS Mincho" w:hAnsi="Calibri" w:cs="Calibri"/>
          <w:b/>
          <w:bCs/>
        </w:rPr>
        <w:t>Real-time Reliability Monitoring and Analysis Capabilities</w:t>
      </w:r>
      <w:r w:rsidR="0042622D" w:rsidRPr="00372C6B">
        <w:rPr>
          <w:rFonts w:ascii="Calibri" w:eastAsia="MS Mincho" w:hAnsi="Calibri" w:cs="Calibri"/>
        </w:rPr>
        <w:t xml:space="preserve"> </w:t>
      </w:r>
      <w:r w:rsidR="0042622D" w:rsidRPr="00372C6B">
        <w:rPr>
          <w:rFonts w:ascii="Calibri" w:eastAsia="MS Mincho" w:hAnsi="Calibri" w:cs="Calibri"/>
          <w:b/>
          <w:bCs/>
        </w:rPr>
        <w:t>(TOP-010-1(i))</w:t>
      </w:r>
      <w:r w:rsidR="0042622D" w:rsidRPr="00372C6B">
        <w:rPr>
          <w:rFonts w:ascii="Calibri" w:eastAsia="MS Mincho" w:hAnsi="Calibri" w:cs="Calibri"/>
        </w:rPr>
        <w:t xml:space="preserve">: </w:t>
      </w:r>
      <w:bookmarkStart w:id="10" w:name="_Hlk219276628"/>
      <w:r w:rsidR="0040165B" w:rsidRPr="00372C6B">
        <w:rPr>
          <w:rFonts w:ascii="Calibri" w:eastAsia="MS Mincho" w:hAnsi="Calibri" w:cs="Calibri"/>
        </w:rPr>
        <w:t xml:space="preserve">Requires </w:t>
      </w:r>
      <w:r w:rsidR="00B53E31" w:rsidRPr="00372C6B">
        <w:rPr>
          <w:rFonts w:ascii="Calibri" w:eastAsia="MS Mincho" w:hAnsi="Calibri" w:cs="Calibri"/>
        </w:rPr>
        <w:t>TO</w:t>
      </w:r>
      <w:r w:rsidR="008C08FE" w:rsidRPr="00372C6B">
        <w:rPr>
          <w:rFonts w:ascii="Calibri" w:eastAsia="MS Mincho" w:hAnsi="Calibri" w:cs="Calibri"/>
        </w:rPr>
        <w:t>P</w:t>
      </w:r>
      <w:r w:rsidR="00B53E31" w:rsidRPr="00372C6B">
        <w:rPr>
          <w:rFonts w:ascii="Calibri" w:eastAsia="MS Mincho" w:hAnsi="Calibri" w:cs="Calibri"/>
        </w:rPr>
        <w:t>s</w:t>
      </w:r>
      <w:r w:rsidR="0040165B" w:rsidRPr="00372C6B">
        <w:rPr>
          <w:rFonts w:ascii="Calibri" w:eastAsia="MS Mincho" w:hAnsi="Calibri" w:cs="Calibri"/>
        </w:rPr>
        <w:t xml:space="preserve"> and </w:t>
      </w:r>
      <w:r w:rsidR="00B53E31" w:rsidRPr="00372C6B">
        <w:rPr>
          <w:rFonts w:ascii="Calibri" w:eastAsia="MS Mincho" w:hAnsi="Calibri" w:cs="Calibri"/>
        </w:rPr>
        <w:t>BAs</w:t>
      </w:r>
      <w:r w:rsidR="0040165B" w:rsidRPr="00372C6B">
        <w:rPr>
          <w:rFonts w:ascii="Calibri" w:eastAsia="MS Mincho" w:hAnsi="Calibri" w:cs="Calibri"/>
        </w:rPr>
        <w:t xml:space="preserve"> </w:t>
      </w:r>
      <w:r w:rsidR="00B53E31" w:rsidRPr="00372C6B">
        <w:rPr>
          <w:rFonts w:ascii="Calibri" w:eastAsia="MS Mincho" w:hAnsi="Calibri" w:cs="Calibri"/>
        </w:rPr>
        <w:t>to maintain processes that ensure real-time data quality for monitoring and assessments and mandates the use of real-time monitoring tools to support early detection and prevention of cascading outages and uncontrolled separation. These provisions strengthen situational awareness and reliability, but the standard does not explicitly require continuous real-time stability monitoring, dynamic assessments, or automated detection and location of forced oscillations</w:t>
      </w:r>
      <w:r w:rsidR="0042622D" w:rsidRPr="00372C6B">
        <w:rPr>
          <w:rFonts w:ascii="Calibri" w:eastAsia="MS Mincho" w:hAnsi="Calibri" w:cs="Calibri"/>
        </w:rPr>
        <w:t>.</w:t>
      </w:r>
      <w:r w:rsidR="001F35F8" w:rsidRPr="00372C6B">
        <w:rPr>
          <w:rFonts w:ascii="Calibri" w:eastAsia="MS Mincho" w:hAnsi="Calibri" w:cs="Calibri"/>
        </w:rPr>
        <w:t xml:space="preserve"> Focus Area(s): Real-time Monitoring.</w:t>
      </w:r>
    </w:p>
    <w:bookmarkEnd w:id="10"/>
    <w:p w14:paraId="18EC5050" w14:textId="6EEFC14A" w:rsidR="002C2C91" w:rsidRPr="00372C6B" w:rsidRDefault="002C2C91">
      <w:pPr>
        <w:pStyle w:val="ListParagraph"/>
        <w:numPr>
          <w:ilvl w:val="0"/>
          <w:numId w:val="11"/>
        </w:numPr>
        <w:rPr>
          <w:rFonts w:ascii="Calibri" w:eastAsia="MS Mincho" w:hAnsi="Calibri" w:cs="Calibri"/>
        </w:rPr>
      </w:pPr>
      <w:r w:rsidRPr="00372C6B">
        <w:rPr>
          <w:rFonts w:ascii="Calibri" w:eastAsia="MS Mincho" w:hAnsi="Calibri" w:cs="Calibri"/>
          <w:b/>
          <w:bCs/>
        </w:rPr>
        <w:t>Transmission System Planning Performance Requirements</w:t>
      </w:r>
      <w:r w:rsidR="0042622D" w:rsidRPr="00372C6B">
        <w:rPr>
          <w:rFonts w:ascii="Calibri" w:eastAsia="MS Mincho" w:hAnsi="Calibri" w:cs="Calibri"/>
          <w:b/>
          <w:bCs/>
        </w:rPr>
        <w:t xml:space="preserve"> (TPL-001-5.1)</w:t>
      </w:r>
      <w:r w:rsidR="0042622D" w:rsidRPr="00372C6B">
        <w:rPr>
          <w:rFonts w:ascii="Calibri" w:eastAsia="MS Mincho" w:hAnsi="Calibri" w:cs="Calibri"/>
        </w:rPr>
        <w:t>:</w:t>
      </w:r>
      <w:r w:rsidR="00915BF6" w:rsidRPr="00372C6B">
        <w:rPr>
          <w:rFonts w:ascii="Calibri" w:eastAsia="MS Mincho" w:hAnsi="Calibri" w:cs="Calibri"/>
        </w:rPr>
        <w:t xml:space="preserve"> </w:t>
      </w:r>
      <w:bookmarkStart w:id="11" w:name="_Hlk219276986"/>
      <w:r w:rsidR="00E06FF0" w:rsidRPr="00372C6B">
        <w:rPr>
          <w:rFonts w:ascii="Calibri" w:eastAsia="MS Mincho" w:hAnsi="Calibri" w:cs="Calibri"/>
        </w:rPr>
        <w:t>Requires planning studies to evaluate system performance under contingencies, ensuring the system can withstand disturbances without cascading failures or uncontrolled separation. These studies include stability assessments that address oscillation control and damping, directly supporting reliable system planning.</w:t>
      </w:r>
      <w:r w:rsidR="001F35F8" w:rsidRPr="00372C6B">
        <w:rPr>
          <w:rFonts w:ascii="Calibri" w:eastAsia="MS Mincho" w:hAnsi="Calibri" w:cs="Calibri"/>
        </w:rPr>
        <w:t xml:space="preserve"> Focus Area(s): Planning Performance.</w:t>
      </w:r>
    </w:p>
    <w:bookmarkEnd w:id="11"/>
    <w:p w14:paraId="3D5FE218" w14:textId="234C9D23" w:rsidR="002C2C91" w:rsidRPr="00372C6B" w:rsidRDefault="002C2C91">
      <w:pPr>
        <w:pStyle w:val="ListParagraph"/>
        <w:numPr>
          <w:ilvl w:val="0"/>
          <w:numId w:val="11"/>
        </w:numPr>
        <w:rPr>
          <w:rFonts w:ascii="Calibri" w:eastAsia="MS Mincho" w:hAnsi="Calibri" w:cs="Calibri"/>
        </w:rPr>
      </w:pPr>
      <w:r w:rsidRPr="00372C6B">
        <w:rPr>
          <w:rFonts w:ascii="Calibri" w:eastAsia="MS Mincho" w:hAnsi="Calibri" w:cs="Calibri"/>
          <w:b/>
          <w:bCs/>
        </w:rPr>
        <w:t>Transmission System Planned Performance for Geomagnetic Disturbance Events</w:t>
      </w:r>
      <w:r w:rsidR="0042622D" w:rsidRPr="00372C6B">
        <w:rPr>
          <w:rFonts w:ascii="Calibri" w:eastAsia="MS Mincho" w:hAnsi="Calibri" w:cs="Calibri"/>
          <w:b/>
          <w:bCs/>
        </w:rPr>
        <w:t xml:space="preserve"> (TPL-007-4)</w:t>
      </w:r>
      <w:r w:rsidR="0042622D" w:rsidRPr="00372C6B">
        <w:rPr>
          <w:rFonts w:ascii="Calibri" w:eastAsia="MS Mincho" w:hAnsi="Calibri" w:cs="Calibri"/>
        </w:rPr>
        <w:t>:</w:t>
      </w:r>
      <w:r w:rsidR="00915BF6" w:rsidRPr="00372C6B">
        <w:rPr>
          <w:rFonts w:ascii="Calibri" w:eastAsia="MS Mincho" w:hAnsi="Calibri" w:cs="Calibri"/>
        </w:rPr>
        <w:t xml:space="preserve"> Requires planning for </w:t>
      </w:r>
      <w:r w:rsidR="00F24FFD" w:rsidRPr="00372C6B">
        <w:rPr>
          <w:rFonts w:ascii="Calibri" w:eastAsia="MS Mincho" w:hAnsi="Calibri" w:cs="Calibri"/>
        </w:rPr>
        <w:t>Geomagnetic Disturbance Events (</w:t>
      </w:r>
      <w:r w:rsidR="00915BF6" w:rsidRPr="00372C6B">
        <w:rPr>
          <w:rFonts w:ascii="Calibri" w:eastAsia="MS Mincho" w:hAnsi="Calibri" w:cs="Calibri"/>
        </w:rPr>
        <w:t>GMD</w:t>
      </w:r>
      <w:r w:rsidR="00F24FFD" w:rsidRPr="00372C6B">
        <w:rPr>
          <w:rFonts w:ascii="Calibri" w:eastAsia="MS Mincho" w:hAnsi="Calibri" w:cs="Calibri"/>
        </w:rPr>
        <w:t>)</w:t>
      </w:r>
      <w:r w:rsidR="00915BF6" w:rsidRPr="00372C6B">
        <w:rPr>
          <w:rFonts w:ascii="Calibri" w:eastAsia="MS Mincho" w:hAnsi="Calibri" w:cs="Calibri"/>
        </w:rPr>
        <w:t xml:space="preserve"> events, indirectly reducing cascading risk by addressing extreme system stress scenarios.</w:t>
      </w:r>
      <w:r w:rsidR="001F35F8" w:rsidRPr="00372C6B">
        <w:rPr>
          <w:rFonts w:ascii="Calibri" w:eastAsia="MS Mincho" w:hAnsi="Calibri" w:cs="Calibri"/>
        </w:rPr>
        <w:t xml:space="preserve"> Focus Area(s): GMD Planning.</w:t>
      </w:r>
    </w:p>
    <w:p w14:paraId="76AE277C" w14:textId="5DD493EF" w:rsidR="006D7B9D" w:rsidRPr="00372C6B" w:rsidRDefault="004A6770" w:rsidP="007554F5">
      <w:pPr>
        <w:rPr>
          <w:rFonts w:ascii="Calibri" w:eastAsia="MS Mincho" w:hAnsi="Calibri" w:cs="Calibri"/>
        </w:rPr>
      </w:pPr>
      <w:r w:rsidRPr="00372C6B">
        <w:rPr>
          <w:rFonts w:ascii="Calibri" w:eastAsia="MS Mincho" w:hAnsi="Calibri" w:cs="Calibri"/>
        </w:rPr>
        <w:t>C</w:t>
      </w:r>
      <w:r w:rsidR="006D7B9D" w:rsidRPr="00372C6B">
        <w:rPr>
          <w:rFonts w:ascii="Calibri" w:eastAsia="MS Mincho" w:hAnsi="Calibri" w:cs="Calibri"/>
        </w:rPr>
        <w:t>ollectively</w:t>
      </w:r>
      <w:r w:rsidRPr="00372C6B">
        <w:rPr>
          <w:rFonts w:ascii="Calibri" w:eastAsia="MS Mincho" w:hAnsi="Calibri" w:cs="Calibri"/>
        </w:rPr>
        <w:t>, these standards</w:t>
      </w:r>
      <w:r w:rsidR="006D7B9D" w:rsidRPr="00372C6B">
        <w:rPr>
          <w:rFonts w:ascii="Calibri" w:eastAsia="MS Mincho" w:hAnsi="Calibri" w:cs="Calibri"/>
        </w:rPr>
        <w:t xml:space="preserve"> enable operators to operate </w:t>
      </w:r>
      <w:r w:rsidRPr="00372C6B">
        <w:rPr>
          <w:rFonts w:ascii="Calibri" w:eastAsia="MS Mincho" w:hAnsi="Calibri" w:cs="Calibri"/>
        </w:rPr>
        <w:t>within</w:t>
      </w:r>
      <w:r w:rsidR="006D7B9D" w:rsidRPr="00372C6B">
        <w:rPr>
          <w:rFonts w:ascii="Calibri" w:eastAsia="MS Mincho" w:hAnsi="Calibri" w:cs="Calibri"/>
        </w:rPr>
        <w:t xml:space="preserve"> limits, perform assessments, and analyze events, </w:t>
      </w:r>
      <w:r w:rsidR="005967BC" w:rsidRPr="00372C6B">
        <w:rPr>
          <w:rFonts w:ascii="Calibri" w:eastAsia="MS Mincho" w:hAnsi="Calibri" w:cs="Calibri"/>
        </w:rPr>
        <w:t>but</w:t>
      </w:r>
      <w:r w:rsidR="006D7B9D" w:rsidRPr="00372C6B">
        <w:rPr>
          <w:rFonts w:ascii="Calibri" w:eastAsia="MS Mincho" w:hAnsi="Calibri" w:cs="Calibri"/>
        </w:rPr>
        <w:t xml:space="preserve"> they </w:t>
      </w:r>
      <w:r w:rsidRPr="00372C6B">
        <w:rPr>
          <w:rFonts w:ascii="Calibri" w:eastAsia="MS Mincho" w:hAnsi="Calibri" w:cs="Calibri"/>
        </w:rPr>
        <w:t>do not require</w:t>
      </w:r>
      <w:r w:rsidR="006D7B9D" w:rsidRPr="00372C6B">
        <w:rPr>
          <w:rFonts w:ascii="Calibri" w:eastAsia="MS Mincho" w:hAnsi="Calibri" w:cs="Calibri"/>
        </w:rPr>
        <w:t xml:space="preserve"> </w:t>
      </w:r>
      <w:r w:rsidRPr="00372C6B">
        <w:rPr>
          <w:rFonts w:ascii="Calibri" w:eastAsia="MS Mincho" w:hAnsi="Calibri" w:cs="Calibri"/>
        </w:rPr>
        <w:t>continuous, control-room-grade monitoring of stability modes, oscillation damping, or forced-oscillation detection</w:t>
      </w:r>
      <w:r w:rsidR="006D7B9D" w:rsidRPr="00372C6B">
        <w:rPr>
          <w:rFonts w:ascii="Calibri" w:eastAsia="MS Mincho" w:hAnsi="Calibri" w:cs="Calibri"/>
        </w:rPr>
        <w:t xml:space="preserve">. Industry guidelines increasingly recommend </w:t>
      </w:r>
      <w:r w:rsidRPr="00372C6B">
        <w:rPr>
          <w:rFonts w:ascii="Calibri" w:eastAsia="MS Mincho" w:hAnsi="Calibri" w:cs="Calibri"/>
        </w:rPr>
        <w:t>these</w:t>
      </w:r>
      <w:r w:rsidR="006D7B9D" w:rsidRPr="00372C6B">
        <w:rPr>
          <w:rFonts w:ascii="Calibri" w:eastAsia="MS Mincho" w:hAnsi="Calibri" w:cs="Calibri"/>
        </w:rPr>
        <w:t xml:space="preserve"> capabilities, they </w:t>
      </w:r>
      <w:r w:rsidRPr="00372C6B">
        <w:rPr>
          <w:rFonts w:ascii="Calibri" w:eastAsia="MS Mincho" w:hAnsi="Calibri" w:cs="Calibri"/>
        </w:rPr>
        <w:t>remain optional</w:t>
      </w:r>
      <w:r w:rsidR="006D7B9D" w:rsidRPr="00372C6B">
        <w:rPr>
          <w:rFonts w:ascii="Calibri" w:eastAsia="MS Mincho" w:hAnsi="Calibri" w:cs="Calibri"/>
        </w:rPr>
        <w:t xml:space="preserve"> </w:t>
      </w:r>
      <w:r w:rsidR="00F24FFD" w:rsidRPr="00372C6B">
        <w:rPr>
          <w:rFonts w:ascii="Calibri" w:eastAsia="MS Mincho" w:hAnsi="Calibri" w:cs="Calibri"/>
        </w:rPr>
        <w:t xml:space="preserve">except for </w:t>
      </w:r>
      <w:r w:rsidR="006D7B9D" w:rsidRPr="00372C6B">
        <w:rPr>
          <w:rFonts w:ascii="Calibri" w:eastAsia="MS Mincho" w:hAnsi="Calibri" w:cs="Calibri"/>
        </w:rPr>
        <w:t>WECC’s variance</w:t>
      </w:r>
      <w:r w:rsidR="00F24FFD" w:rsidRPr="00372C6B">
        <w:rPr>
          <w:rFonts w:ascii="Calibri" w:eastAsia="MS Mincho" w:hAnsi="Calibri" w:cs="Calibri"/>
        </w:rPr>
        <w:t>, which is discussed later in this document</w:t>
      </w:r>
      <w:r w:rsidR="006D7B9D" w:rsidRPr="00372C6B">
        <w:rPr>
          <w:rFonts w:ascii="Calibri" w:eastAsia="MS Mincho" w:hAnsi="Calibri" w:cs="Calibri"/>
        </w:rPr>
        <w:t>.</w:t>
      </w:r>
    </w:p>
    <w:p w14:paraId="79DAF84B" w14:textId="77777777" w:rsidR="00105CD2" w:rsidRPr="00372C6B" w:rsidRDefault="00105CD2" w:rsidP="007554F5">
      <w:pPr>
        <w:rPr>
          <w:rFonts w:ascii="Calibri" w:eastAsia="MS Mincho" w:hAnsi="Calibri" w:cs="Calibri"/>
          <w:b/>
          <w:bCs/>
        </w:rPr>
      </w:pPr>
    </w:p>
    <w:p w14:paraId="27A8E8BF" w14:textId="2E661854" w:rsidR="00105CD2" w:rsidRPr="00372C6B" w:rsidRDefault="00105CD2" w:rsidP="007554F5">
      <w:pPr>
        <w:rPr>
          <w:rFonts w:ascii="Calibri" w:eastAsia="MS Mincho" w:hAnsi="Calibri" w:cs="Calibri"/>
          <w:b/>
          <w:bCs/>
        </w:rPr>
      </w:pPr>
      <w:r w:rsidRPr="00372C6B">
        <w:rPr>
          <w:rFonts w:ascii="Calibri" w:eastAsia="MS Mincho" w:hAnsi="Calibri" w:cs="Calibri"/>
          <w:b/>
          <w:bCs/>
        </w:rPr>
        <w:t>Resources on Real-Time Stability and Oscillation Monitoring</w:t>
      </w:r>
    </w:p>
    <w:p w14:paraId="22061894" w14:textId="327A2385" w:rsidR="0083551C" w:rsidRPr="00372C6B" w:rsidRDefault="00105CD2" w:rsidP="00AF25F3">
      <w:pPr>
        <w:rPr>
          <w:rFonts w:ascii="Calibri" w:eastAsia="MS Mincho" w:hAnsi="Calibri" w:cs="Calibri"/>
        </w:rPr>
      </w:pPr>
      <w:r w:rsidRPr="00372C6B">
        <w:rPr>
          <w:rFonts w:ascii="Calibri" w:eastAsia="MS Mincho" w:hAnsi="Calibri" w:cs="Calibri"/>
        </w:rPr>
        <w:t xml:space="preserve">Several technical references and guides provide deeper insights into real-time stability monitoring and oscillation analysis. </w:t>
      </w:r>
      <w:r w:rsidR="0083723C" w:rsidRPr="00372C6B">
        <w:rPr>
          <w:rFonts w:ascii="Calibri" w:eastAsia="MS Mincho" w:hAnsi="Calibri" w:cs="Calibri"/>
        </w:rPr>
        <w:t xml:space="preserve">These examples are not exhaustive, but they illustrate the breadth of available technical resources. </w:t>
      </w:r>
      <w:r w:rsidRPr="00372C6B">
        <w:rPr>
          <w:rFonts w:ascii="Calibri" w:eastAsia="MS Mincho" w:hAnsi="Calibri" w:cs="Calibri"/>
        </w:rPr>
        <w:t xml:space="preserve">For example, CIGRE </w:t>
      </w:r>
      <w:r w:rsidR="005C0C2E" w:rsidRPr="00372C6B">
        <w:rPr>
          <w:rFonts w:ascii="Calibri" w:eastAsia="MS Mincho" w:hAnsi="Calibri" w:cs="Calibri"/>
        </w:rPr>
        <w:t xml:space="preserve">focuses on real-time long-term </w:t>
      </w:r>
      <w:r w:rsidRPr="00372C6B">
        <w:rPr>
          <w:rFonts w:ascii="Calibri" w:eastAsia="MS Mincho" w:hAnsi="Calibri" w:cs="Calibri"/>
        </w:rPr>
        <w:t xml:space="preserve">voltage stability monitoring using </w:t>
      </w:r>
      <w:r w:rsidR="005C0C2E" w:rsidRPr="00372C6B">
        <w:rPr>
          <w:rFonts w:ascii="Calibri" w:eastAsia="MS Mincho" w:hAnsi="Calibri" w:cs="Calibri"/>
        </w:rPr>
        <w:t>machine learning models and Voltage Stability Indices (VSIs)</w:t>
      </w:r>
      <w:r w:rsidRPr="00372C6B">
        <w:rPr>
          <w:rFonts w:ascii="Calibri" w:eastAsia="MS Mincho" w:hAnsi="Calibri" w:cs="Calibri"/>
        </w:rPr>
        <w:t>, tested on real-time simulators</w:t>
      </w:r>
      <w:r w:rsidRPr="00372C6B">
        <w:rPr>
          <w:rStyle w:val="FootnoteReference"/>
          <w:rFonts w:ascii="Calibri" w:eastAsia="MS Mincho" w:hAnsi="Calibri" w:cs="Calibri"/>
        </w:rPr>
        <w:footnoteReference w:id="3"/>
      </w:r>
      <w:r w:rsidRPr="00372C6B">
        <w:rPr>
          <w:rFonts w:ascii="Calibri" w:eastAsia="MS Mincho" w:hAnsi="Calibri" w:cs="Calibri"/>
        </w:rPr>
        <w:t>. The NERC Synchronized Measurement Working Group offers recommended practices for monitoring and mitigating inter-area oscillations with synchrophasor data</w:t>
      </w:r>
      <w:r w:rsidRPr="00372C6B">
        <w:rPr>
          <w:rStyle w:val="FootnoteReference"/>
          <w:rFonts w:ascii="Calibri" w:eastAsia="MS Mincho" w:hAnsi="Calibri" w:cs="Calibri"/>
        </w:rPr>
        <w:footnoteReference w:id="4"/>
      </w:r>
      <w:r w:rsidRPr="00372C6B">
        <w:rPr>
          <w:rFonts w:ascii="Calibri" w:eastAsia="MS Mincho" w:hAnsi="Calibri" w:cs="Calibri"/>
        </w:rPr>
        <w:t>, while NERC’s Interconnection Oscillation Analysis report</w:t>
      </w:r>
      <w:r w:rsidRPr="00372C6B">
        <w:rPr>
          <w:rStyle w:val="FootnoteReference"/>
          <w:rFonts w:ascii="Calibri" w:eastAsia="MS Mincho" w:hAnsi="Calibri" w:cs="Calibri"/>
        </w:rPr>
        <w:footnoteReference w:id="5"/>
      </w:r>
      <w:r w:rsidRPr="00372C6B">
        <w:rPr>
          <w:rFonts w:ascii="Calibri" w:eastAsia="MS Mincho" w:hAnsi="Calibri" w:cs="Calibri"/>
        </w:rPr>
        <w:t xml:space="preserve"> examines mode shapes and behaviors across the grid. Academic research, such as studies in the Journal of Renewable and Sustainable Energy</w:t>
      </w:r>
      <w:r w:rsidRPr="00372C6B">
        <w:rPr>
          <w:rStyle w:val="FootnoteReference"/>
          <w:rFonts w:ascii="Calibri" w:eastAsia="MS Mincho" w:hAnsi="Calibri" w:cs="Calibri"/>
        </w:rPr>
        <w:footnoteReference w:id="6"/>
      </w:r>
      <w:r w:rsidRPr="00372C6B">
        <w:rPr>
          <w:rFonts w:ascii="Calibri" w:eastAsia="MS Mincho" w:hAnsi="Calibri" w:cs="Calibri"/>
        </w:rPr>
        <w:t xml:space="preserve"> and the International Journal of Control, Automation and Systems</w:t>
      </w:r>
      <w:r w:rsidRPr="00372C6B">
        <w:rPr>
          <w:rStyle w:val="FootnoteReference"/>
          <w:rFonts w:ascii="Calibri" w:eastAsia="MS Mincho" w:hAnsi="Calibri" w:cs="Calibri"/>
        </w:rPr>
        <w:footnoteReference w:id="7"/>
      </w:r>
      <w:r w:rsidRPr="00372C6B">
        <w:rPr>
          <w:rFonts w:ascii="Calibri" w:eastAsia="MS Mincho" w:hAnsi="Calibri" w:cs="Calibri"/>
        </w:rPr>
        <w:t>, introduces advanced algorithms for detecting oscillations and assessing stability in real time. Finally, the Energy Systems Integration Group (ESIG) provides a practical guide for diagnosing and mitigating oscillations in IBR grids</w:t>
      </w:r>
      <w:r w:rsidRPr="00372C6B">
        <w:rPr>
          <w:rStyle w:val="FootnoteReference"/>
          <w:rFonts w:ascii="Calibri" w:eastAsia="MS Mincho" w:hAnsi="Calibri" w:cs="Calibri"/>
        </w:rPr>
        <w:footnoteReference w:id="8"/>
      </w:r>
      <w:r w:rsidRPr="00372C6B">
        <w:rPr>
          <w:rFonts w:ascii="Calibri" w:eastAsia="MS Mincho" w:hAnsi="Calibri" w:cs="Calibri"/>
        </w:rPr>
        <w:t xml:space="preserve">. </w:t>
      </w:r>
      <w:r w:rsidR="007E7FF8" w:rsidRPr="00372C6B">
        <w:rPr>
          <w:rFonts w:ascii="Calibri" w:eastAsia="MS Mincho" w:hAnsi="Calibri" w:cs="Calibri"/>
        </w:rPr>
        <w:t>Together, these resources, among others not listed in this section, highlight emerging tools and best practices that complement existing standards and support the development of robust real</w:t>
      </w:r>
      <w:r w:rsidR="007E7FF8" w:rsidRPr="00372C6B">
        <w:rPr>
          <w:rFonts w:ascii="Cambria Math" w:eastAsia="MS Mincho" w:hAnsi="Cambria Math" w:cs="Cambria Math"/>
        </w:rPr>
        <w:t>‑</w:t>
      </w:r>
      <w:r w:rsidR="007E7FF8" w:rsidRPr="00372C6B">
        <w:rPr>
          <w:rFonts w:ascii="Calibri" w:eastAsia="MS Mincho" w:hAnsi="Calibri" w:cs="Calibri"/>
        </w:rPr>
        <w:t>time monitoring capabilities</w:t>
      </w:r>
      <w:r w:rsidRPr="00372C6B">
        <w:rPr>
          <w:rFonts w:ascii="Calibri" w:eastAsia="MS Mincho" w:hAnsi="Calibri" w:cs="Calibri"/>
        </w:rPr>
        <w:t>.</w:t>
      </w:r>
      <w:r w:rsidR="009B28E6" w:rsidRPr="00372C6B">
        <w:rPr>
          <w:rFonts w:ascii="Calibri" w:eastAsia="MS Mincho" w:hAnsi="Calibri" w:cs="Calibri"/>
        </w:rPr>
        <w:t xml:space="preserve"> </w:t>
      </w:r>
      <w:r w:rsidR="0040165B" w:rsidRPr="00372C6B">
        <w:rPr>
          <w:rFonts w:ascii="Calibri" w:eastAsia="MS Mincho" w:hAnsi="Calibri" w:cs="Calibri"/>
        </w:rPr>
        <w:t>See</w:t>
      </w:r>
      <w:r w:rsidR="009B28E6" w:rsidRPr="00372C6B">
        <w:rPr>
          <w:rFonts w:ascii="Calibri" w:eastAsia="MS Mincho" w:hAnsi="Calibri" w:cs="Calibri"/>
        </w:rPr>
        <w:t xml:space="preserve"> </w:t>
      </w:r>
      <w:r w:rsidR="002302CA">
        <w:rPr>
          <w:rFonts w:ascii="Calibri" w:eastAsia="MS Mincho" w:hAnsi="Calibri" w:cs="Calibri"/>
        </w:rPr>
        <w:t>Section </w:t>
      </w:r>
      <w:r w:rsidR="002302CA">
        <w:rPr>
          <w:rFonts w:ascii="Calibri" w:eastAsia="MS Mincho" w:hAnsi="Calibri" w:cs="Calibri"/>
        </w:rPr>
        <w:fldChar w:fldCharType="begin"/>
      </w:r>
      <w:r w:rsidR="002302CA">
        <w:rPr>
          <w:rFonts w:ascii="Calibri" w:eastAsia="MS Mincho" w:hAnsi="Calibri" w:cs="Calibri"/>
        </w:rPr>
        <w:instrText xml:space="preserve"> REF _Ref234438598 \r \h </w:instrText>
      </w:r>
      <w:r w:rsidR="002302CA">
        <w:rPr>
          <w:rFonts w:ascii="Calibri" w:eastAsia="MS Mincho" w:hAnsi="Calibri" w:cs="Calibri"/>
        </w:rPr>
      </w:r>
      <w:r w:rsidR="002302CA">
        <w:rPr>
          <w:rFonts w:ascii="Calibri" w:eastAsia="MS Mincho" w:hAnsi="Calibri" w:cs="Calibri"/>
        </w:rPr>
        <w:fldChar w:fldCharType="separate"/>
      </w:r>
      <w:r w:rsidR="002302CA">
        <w:rPr>
          <w:rFonts w:ascii="Calibri" w:eastAsia="MS Mincho" w:hAnsi="Calibri" w:cs="Calibri"/>
        </w:rPr>
        <w:t>5</w:t>
      </w:r>
      <w:r w:rsidR="002302CA">
        <w:rPr>
          <w:rFonts w:ascii="Calibri" w:eastAsia="MS Mincho" w:hAnsi="Calibri" w:cs="Calibri"/>
        </w:rPr>
        <w:fldChar w:fldCharType="end"/>
      </w:r>
      <w:r w:rsidR="009B28E6" w:rsidRPr="00372C6B">
        <w:rPr>
          <w:rFonts w:ascii="Calibri" w:eastAsia="MS Mincho" w:hAnsi="Calibri" w:cs="Calibri"/>
        </w:rPr>
        <w:t xml:space="preserve"> for additional resources that support real-time stability and oscillation monitoring efforts.</w:t>
      </w:r>
    </w:p>
    <w:p w14:paraId="2E978B4D" w14:textId="22591012" w:rsidR="007554F5" w:rsidRPr="00372C6B" w:rsidRDefault="007554F5" w:rsidP="007554F5">
      <w:pPr>
        <w:pStyle w:val="ListParagraph"/>
        <w:ind w:left="0"/>
        <w:rPr>
          <w:rFonts w:ascii="Calibri" w:eastAsia="MS Mincho" w:hAnsi="Calibri" w:cs="Calibri"/>
        </w:rPr>
      </w:pPr>
    </w:p>
    <w:p w14:paraId="11711627" w14:textId="62A92A8A" w:rsidR="007554F5" w:rsidRPr="00372C6B" w:rsidRDefault="007554F5" w:rsidP="007554F5">
      <w:pPr>
        <w:pStyle w:val="ListParagraph"/>
        <w:ind w:left="0"/>
        <w:rPr>
          <w:rFonts w:ascii="Calibri" w:eastAsia="MS Mincho" w:hAnsi="Calibri" w:cs="Calibri"/>
          <w:b/>
          <w:bCs/>
        </w:rPr>
      </w:pPr>
      <w:r w:rsidRPr="00372C6B">
        <w:rPr>
          <w:rFonts w:ascii="Calibri" w:eastAsia="MS Mincho" w:hAnsi="Calibri" w:cs="Calibri"/>
          <w:b/>
          <w:bCs/>
        </w:rPr>
        <w:t>WECC IRO-002-7 Regional Variance</w:t>
      </w:r>
    </w:p>
    <w:p w14:paraId="1B81966C" w14:textId="77777777" w:rsidR="007554F5" w:rsidRPr="00372C6B" w:rsidRDefault="007554F5" w:rsidP="007554F5">
      <w:pPr>
        <w:pStyle w:val="ListParagraph"/>
        <w:ind w:left="0"/>
        <w:rPr>
          <w:rFonts w:ascii="Calibri" w:eastAsia="MS Mincho" w:hAnsi="Calibri" w:cs="Calibri"/>
        </w:rPr>
      </w:pPr>
    </w:p>
    <w:p w14:paraId="3A6B8D8A" w14:textId="54B9F8B5" w:rsidR="007554F5" w:rsidRPr="00372C6B" w:rsidRDefault="007554F5" w:rsidP="007554F5">
      <w:pPr>
        <w:pStyle w:val="ListParagraph"/>
        <w:ind w:left="0"/>
        <w:rPr>
          <w:rFonts w:ascii="Calibri" w:eastAsia="MS Mincho" w:hAnsi="Calibri" w:cs="Calibri"/>
        </w:rPr>
      </w:pPr>
      <w:r w:rsidRPr="00372C6B">
        <w:rPr>
          <w:rFonts w:ascii="Calibri" w:eastAsia="MS Mincho" w:hAnsi="Calibri" w:cs="Calibri"/>
        </w:rPr>
        <w:t>The WECC variance</w:t>
      </w:r>
      <w:r w:rsidR="001250C9" w:rsidRPr="00372C6B">
        <w:rPr>
          <w:rStyle w:val="FootnoteReference"/>
          <w:rFonts w:ascii="Calibri" w:eastAsia="MS Mincho" w:hAnsi="Calibri" w:cs="Calibri"/>
        </w:rPr>
        <w:footnoteReference w:id="9"/>
      </w:r>
      <w:r w:rsidRPr="00372C6B">
        <w:rPr>
          <w:rFonts w:ascii="Calibri" w:eastAsia="MS Mincho" w:hAnsi="Calibri" w:cs="Calibri"/>
        </w:rPr>
        <w:t xml:space="preserve"> </w:t>
      </w:r>
      <w:r w:rsidR="00D21D98" w:rsidRPr="00372C6B">
        <w:rPr>
          <w:rFonts w:ascii="Calibri" w:eastAsia="MS Mincho" w:hAnsi="Calibri" w:cs="Calibri"/>
        </w:rPr>
        <w:t xml:space="preserve">under IRO-002-7 </w:t>
      </w:r>
      <w:r w:rsidRPr="00372C6B">
        <w:rPr>
          <w:rFonts w:ascii="Calibri" w:eastAsia="MS Mincho" w:hAnsi="Calibri" w:cs="Calibri"/>
        </w:rPr>
        <w:t xml:space="preserve">introduces additional obligations for </w:t>
      </w:r>
      <w:r w:rsidR="00BF3C17" w:rsidRPr="00372C6B">
        <w:rPr>
          <w:rFonts w:ascii="Calibri" w:eastAsia="MS Mincho" w:hAnsi="Calibri" w:cs="Calibri"/>
        </w:rPr>
        <w:t>RCs</w:t>
      </w:r>
      <w:r w:rsidRPr="00372C6B">
        <w:rPr>
          <w:rFonts w:ascii="Calibri" w:eastAsia="MS Mincho" w:hAnsi="Calibri" w:cs="Calibri"/>
        </w:rPr>
        <w:t xml:space="preserve"> in the Western Interconnection</w:t>
      </w:r>
      <w:r w:rsidR="004372A4" w:rsidRPr="00372C6B">
        <w:rPr>
          <w:rFonts w:ascii="Calibri" w:eastAsia="MS Mincho" w:hAnsi="Calibri" w:cs="Calibri"/>
        </w:rPr>
        <w:t>, such as</w:t>
      </w:r>
      <w:r w:rsidRPr="00372C6B">
        <w:rPr>
          <w:rFonts w:ascii="Calibri" w:eastAsia="MS Mincho" w:hAnsi="Calibri" w:cs="Calibri"/>
        </w:rPr>
        <w:t>:</w:t>
      </w:r>
    </w:p>
    <w:p w14:paraId="4B21C9E3" w14:textId="514C7AB8" w:rsidR="007554F5" w:rsidRPr="00372C6B" w:rsidRDefault="007554F5">
      <w:pPr>
        <w:pStyle w:val="ListParagraph"/>
        <w:numPr>
          <w:ilvl w:val="0"/>
          <w:numId w:val="6"/>
        </w:numPr>
        <w:rPr>
          <w:rFonts w:ascii="Calibri" w:eastAsia="MS Mincho" w:hAnsi="Calibri" w:cs="Calibri"/>
        </w:rPr>
      </w:pPr>
      <w:r w:rsidRPr="00372C6B">
        <w:rPr>
          <w:rFonts w:ascii="Calibri" w:eastAsia="MS Mincho" w:hAnsi="Calibri" w:cs="Calibri"/>
          <w:b/>
          <w:bCs/>
        </w:rPr>
        <w:t>Common Interconnection-wide Methodology</w:t>
      </w:r>
      <w:r w:rsidR="001250C9" w:rsidRPr="00372C6B">
        <w:rPr>
          <w:rStyle w:val="FootnoteReference"/>
          <w:rFonts w:ascii="Calibri" w:eastAsia="MS Mincho" w:hAnsi="Calibri" w:cs="Calibri"/>
          <w:b/>
          <w:bCs/>
        </w:rPr>
        <w:footnoteReference w:id="10"/>
      </w:r>
      <w:r w:rsidR="00E53E35" w:rsidRPr="00372C6B">
        <w:rPr>
          <w:rFonts w:ascii="Calibri" w:eastAsia="MS Mincho" w:hAnsi="Calibri" w:cs="Calibri"/>
        </w:rPr>
        <w:t xml:space="preserve">: </w:t>
      </w:r>
      <w:r w:rsidRPr="00372C6B">
        <w:rPr>
          <w:rFonts w:ascii="Calibri" w:eastAsia="MS Mincho" w:hAnsi="Calibri" w:cs="Calibri"/>
        </w:rPr>
        <w:t>RCs must develop and maintain a reference model for operational awareness,</w:t>
      </w:r>
      <w:r w:rsidR="009B0DA4" w:rsidRPr="00372C6B">
        <w:rPr>
          <w:rFonts w:ascii="Calibri" w:eastAsia="MS Mincho" w:hAnsi="Calibri" w:cs="Calibri"/>
        </w:rPr>
        <w:t xml:space="preserve"> </w:t>
      </w:r>
      <w:r w:rsidRPr="00372C6B">
        <w:rPr>
          <w:rFonts w:ascii="Calibri" w:eastAsia="MS Mincho" w:hAnsi="Calibri" w:cs="Calibri"/>
        </w:rPr>
        <w:t xml:space="preserve">including BES and non-BES elements affecting reliability. </w:t>
      </w:r>
    </w:p>
    <w:p w14:paraId="6A4AF2BD" w14:textId="352927F4" w:rsidR="007554F5" w:rsidRPr="00372C6B" w:rsidRDefault="007554F5">
      <w:pPr>
        <w:pStyle w:val="ListParagraph"/>
        <w:numPr>
          <w:ilvl w:val="0"/>
          <w:numId w:val="6"/>
        </w:numPr>
        <w:rPr>
          <w:rFonts w:ascii="Calibri" w:eastAsia="MS Mincho" w:hAnsi="Calibri" w:cs="Calibri"/>
        </w:rPr>
      </w:pPr>
      <w:r w:rsidRPr="00372C6B">
        <w:rPr>
          <w:rFonts w:ascii="Calibri" w:eastAsia="MS Mincho" w:hAnsi="Calibri" w:cs="Calibri"/>
          <w:b/>
          <w:bCs/>
        </w:rPr>
        <w:t>Specific Monitoring Requirements</w:t>
      </w:r>
      <w:r w:rsidR="00E53E35" w:rsidRPr="00372C6B">
        <w:rPr>
          <w:rFonts w:ascii="Calibri" w:eastAsia="MS Mincho" w:hAnsi="Calibri" w:cs="Calibri"/>
        </w:rPr>
        <w:t xml:space="preserve">: </w:t>
      </w:r>
      <w:r w:rsidRPr="00372C6B">
        <w:rPr>
          <w:rFonts w:ascii="Calibri" w:eastAsia="MS Mincho" w:hAnsi="Calibri" w:cs="Calibri"/>
        </w:rPr>
        <w:t>The methodology must address:</w:t>
      </w:r>
    </w:p>
    <w:p w14:paraId="584F1E5E" w14:textId="084F1172" w:rsidR="007554F5" w:rsidRPr="00372C6B" w:rsidRDefault="007554F5">
      <w:pPr>
        <w:pStyle w:val="ListParagraph"/>
        <w:numPr>
          <w:ilvl w:val="1"/>
          <w:numId w:val="6"/>
        </w:numPr>
        <w:rPr>
          <w:rFonts w:ascii="Calibri" w:eastAsia="MS Mincho" w:hAnsi="Calibri" w:cs="Calibri"/>
        </w:rPr>
      </w:pPr>
      <w:r w:rsidRPr="00372C6B">
        <w:rPr>
          <w:rFonts w:ascii="Calibri" w:eastAsia="MS Mincho" w:hAnsi="Calibri" w:cs="Calibri"/>
        </w:rPr>
        <w:t>Inter-area oscillations (offline and real-time)</w:t>
      </w:r>
      <w:r w:rsidR="009B0DA4" w:rsidRPr="00372C6B">
        <w:rPr>
          <w:rFonts w:ascii="Calibri" w:eastAsia="MS Mincho" w:hAnsi="Calibri" w:cs="Calibri"/>
        </w:rPr>
        <w:t>.</w:t>
      </w:r>
    </w:p>
    <w:p w14:paraId="6E4CD097" w14:textId="60DC0F75" w:rsidR="007554F5" w:rsidRPr="00372C6B" w:rsidRDefault="007554F5">
      <w:pPr>
        <w:pStyle w:val="ListParagraph"/>
        <w:numPr>
          <w:ilvl w:val="1"/>
          <w:numId w:val="6"/>
        </w:numPr>
        <w:rPr>
          <w:rFonts w:ascii="Calibri" w:eastAsia="MS Mincho" w:hAnsi="Calibri" w:cs="Calibri"/>
        </w:rPr>
      </w:pPr>
      <w:r w:rsidRPr="00372C6B">
        <w:rPr>
          <w:rFonts w:ascii="Calibri" w:eastAsia="MS Mincho" w:hAnsi="Calibri" w:cs="Calibri"/>
        </w:rPr>
        <w:t>Contingency and Remedial Action Scheme (RAS) inclusion in assessments</w:t>
      </w:r>
      <w:r w:rsidR="009B0DA4" w:rsidRPr="00372C6B">
        <w:rPr>
          <w:rFonts w:ascii="Calibri" w:eastAsia="MS Mincho" w:hAnsi="Calibri" w:cs="Calibri"/>
        </w:rPr>
        <w:t>.</w:t>
      </w:r>
    </w:p>
    <w:p w14:paraId="13EB25E6" w14:textId="4B41EFDF" w:rsidR="007554F5" w:rsidRPr="00372C6B" w:rsidRDefault="007554F5">
      <w:pPr>
        <w:pStyle w:val="ListParagraph"/>
        <w:numPr>
          <w:ilvl w:val="1"/>
          <w:numId w:val="6"/>
        </w:numPr>
        <w:rPr>
          <w:rFonts w:ascii="Calibri" w:eastAsia="MS Mincho" w:hAnsi="Calibri" w:cs="Calibri"/>
        </w:rPr>
      </w:pPr>
      <w:r w:rsidRPr="00372C6B">
        <w:rPr>
          <w:rFonts w:ascii="Calibri" w:eastAsia="MS Mincho" w:hAnsi="Calibri" w:cs="Calibri"/>
        </w:rPr>
        <w:lastRenderedPageBreak/>
        <w:t>Forecast data integration</w:t>
      </w:r>
      <w:r w:rsidR="009B0DA4" w:rsidRPr="00372C6B">
        <w:rPr>
          <w:rFonts w:ascii="Calibri" w:eastAsia="MS Mincho" w:hAnsi="Calibri" w:cs="Calibri"/>
        </w:rPr>
        <w:t>.</w:t>
      </w:r>
    </w:p>
    <w:p w14:paraId="3F19918A" w14:textId="16C3F135" w:rsidR="007554F5" w:rsidRPr="00372C6B" w:rsidRDefault="007554F5">
      <w:pPr>
        <w:pStyle w:val="ListParagraph"/>
        <w:numPr>
          <w:ilvl w:val="1"/>
          <w:numId w:val="6"/>
        </w:numPr>
        <w:rPr>
          <w:rFonts w:ascii="Calibri" w:eastAsia="MS Mincho" w:hAnsi="Calibri" w:cs="Calibri"/>
        </w:rPr>
      </w:pPr>
      <w:r w:rsidRPr="00372C6B">
        <w:rPr>
          <w:rFonts w:ascii="Calibri" w:eastAsia="MS Mincho" w:hAnsi="Calibri" w:cs="Calibri"/>
        </w:rPr>
        <w:t>Validation of operational models for steady-state and dynamic response</w:t>
      </w:r>
      <w:r w:rsidR="009B0DA4" w:rsidRPr="00372C6B">
        <w:rPr>
          <w:rFonts w:ascii="Calibri" w:eastAsia="MS Mincho" w:hAnsi="Calibri" w:cs="Calibri"/>
        </w:rPr>
        <w:t>.</w:t>
      </w:r>
      <w:r w:rsidRPr="00372C6B">
        <w:rPr>
          <w:rStyle w:val="FootnoteReference"/>
          <w:rFonts w:ascii="Calibri" w:eastAsia="MS Mincho" w:hAnsi="Calibri" w:cs="Calibri"/>
        </w:rPr>
        <w:footnoteReference w:id="11"/>
      </w:r>
      <w:r w:rsidRPr="00372C6B">
        <w:rPr>
          <w:rFonts w:ascii="Calibri" w:eastAsia="MS Mincho" w:hAnsi="Calibri" w:cs="Calibri"/>
        </w:rPr>
        <w:t xml:space="preserve"> </w:t>
      </w:r>
    </w:p>
    <w:p w14:paraId="52F142AF" w14:textId="2D273315" w:rsidR="007554F5" w:rsidRPr="00372C6B" w:rsidRDefault="007554F5" w:rsidP="007554F5">
      <w:pPr>
        <w:pStyle w:val="ListParagraph"/>
        <w:ind w:left="0"/>
        <w:rPr>
          <w:rFonts w:ascii="Calibri" w:eastAsia="MS Mincho" w:hAnsi="Calibri" w:cs="Calibri"/>
        </w:rPr>
      </w:pPr>
      <w:r w:rsidRPr="00372C6B">
        <w:rPr>
          <w:rFonts w:ascii="Calibri" w:eastAsia="MS Mincho" w:hAnsi="Calibri" w:cs="Calibri"/>
        </w:rPr>
        <w:br/>
      </w:r>
      <w:r w:rsidR="00037A42" w:rsidRPr="00372C6B">
        <w:rPr>
          <w:rFonts w:ascii="Calibri" w:eastAsia="MS Mincho" w:hAnsi="Calibri" w:cs="Calibri"/>
        </w:rPr>
        <w:t xml:space="preserve">WECC’s variance strengthens regional practice by requiring an </w:t>
      </w:r>
      <w:r w:rsidR="000223C2" w:rsidRPr="00372C6B">
        <w:rPr>
          <w:rFonts w:ascii="Calibri" w:eastAsia="MS Mincho" w:hAnsi="Calibri" w:cs="Calibri"/>
        </w:rPr>
        <w:t>i</w:t>
      </w:r>
      <w:r w:rsidR="00037A42" w:rsidRPr="00372C6B">
        <w:rPr>
          <w:rFonts w:ascii="Calibri" w:eastAsia="MS Mincho" w:hAnsi="Calibri" w:cs="Calibri"/>
        </w:rPr>
        <w:t>nterconnection</w:t>
      </w:r>
      <w:r w:rsidR="00037A42" w:rsidRPr="00372C6B">
        <w:rPr>
          <w:rFonts w:ascii="Cambria Math" w:eastAsia="MS Mincho" w:hAnsi="Cambria Math" w:cs="Cambria Math"/>
        </w:rPr>
        <w:t>‑</w:t>
      </w:r>
      <w:r w:rsidR="00037A42" w:rsidRPr="00372C6B">
        <w:rPr>
          <w:rFonts w:ascii="Calibri" w:eastAsia="MS Mincho" w:hAnsi="Calibri" w:cs="Calibri"/>
        </w:rPr>
        <w:t>wide methodology that accounts for inter</w:t>
      </w:r>
      <w:r w:rsidR="00037A42" w:rsidRPr="00372C6B">
        <w:rPr>
          <w:rFonts w:ascii="Cambria Math" w:eastAsia="MS Mincho" w:hAnsi="Cambria Math" w:cs="Cambria Math"/>
        </w:rPr>
        <w:t>‑</w:t>
      </w:r>
      <w:r w:rsidR="00037A42" w:rsidRPr="00372C6B">
        <w:rPr>
          <w:rFonts w:ascii="Calibri" w:eastAsia="MS Mincho" w:hAnsi="Calibri" w:cs="Calibri"/>
        </w:rPr>
        <w:t>area oscillations and validates dynamic/oscillatory model response, improving consistency across the Western Interconnection. However, it does not fully mandate real</w:t>
      </w:r>
      <w:r w:rsidR="00037A42" w:rsidRPr="00372C6B">
        <w:rPr>
          <w:rFonts w:ascii="Cambria Math" w:eastAsia="MS Mincho" w:hAnsi="Cambria Math" w:cs="Cambria Math"/>
        </w:rPr>
        <w:t>‑</w:t>
      </w:r>
      <w:r w:rsidR="00037A42" w:rsidRPr="00372C6B">
        <w:rPr>
          <w:rFonts w:ascii="Calibri" w:eastAsia="MS Mincho" w:hAnsi="Calibri" w:cs="Calibri"/>
        </w:rPr>
        <w:t xml:space="preserve">time dynamic stability monitoring tools (e.g., Wide Area Measurement Systems for oscillation damping), and implementation consistency among </w:t>
      </w:r>
      <w:r w:rsidR="00D96AEA" w:rsidRPr="00372C6B">
        <w:rPr>
          <w:rFonts w:ascii="Calibri" w:eastAsia="MS Mincho" w:hAnsi="Calibri" w:cs="Calibri"/>
        </w:rPr>
        <w:t>RCs</w:t>
      </w:r>
      <w:r w:rsidR="00037A42" w:rsidRPr="00372C6B">
        <w:rPr>
          <w:rFonts w:ascii="Calibri" w:eastAsia="MS Mincho" w:hAnsi="Calibri" w:cs="Calibri"/>
        </w:rPr>
        <w:t xml:space="preserve"> remains a challenge. Importantly, this approach is regional and does not establish a continent</w:t>
      </w:r>
      <w:r w:rsidR="00037A42" w:rsidRPr="00372C6B">
        <w:rPr>
          <w:rFonts w:ascii="Cambria Math" w:eastAsia="MS Mincho" w:hAnsi="Cambria Math" w:cs="Cambria Math"/>
        </w:rPr>
        <w:t>‑</w:t>
      </w:r>
      <w:r w:rsidR="00037A42" w:rsidRPr="00372C6B">
        <w:rPr>
          <w:rFonts w:ascii="Calibri" w:eastAsia="MS Mincho" w:hAnsi="Calibri" w:cs="Calibri"/>
        </w:rPr>
        <w:t>wide requirement for continuous stability monitoring.</w:t>
      </w:r>
    </w:p>
    <w:p w14:paraId="25CC15D3" w14:textId="77777777" w:rsidR="00175F28" w:rsidRPr="00372C6B" w:rsidRDefault="00175F28" w:rsidP="00E45A62">
      <w:pPr>
        <w:pStyle w:val="ListParagraph"/>
        <w:spacing w:after="0" w:line="240" w:lineRule="auto"/>
        <w:rPr>
          <w:rFonts w:ascii="Calibri" w:eastAsia="MS Mincho" w:hAnsi="Calibri" w:cs="Calibri"/>
        </w:rPr>
      </w:pPr>
    </w:p>
    <w:p w14:paraId="44A4E39B" w14:textId="68D5B603" w:rsidR="002E31D5" w:rsidRPr="00372C6B" w:rsidRDefault="002E31D5" w:rsidP="002E31D5">
      <w:pPr>
        <w:pStyle w:val="ListParagraph"/>
        <w:ind w:left="0"/>
        <w:rPr>
          <w:rFonts w:ascii="Calibri" w:eastAsia="MS Mincho" w:hAnsi="Calibri" w:cs="Calibri"/>
          <w:b/>
          <w:bCs/>
        </w:rPr>
      </w:pPr>
      <w:r w:rsidRPr="00372C6B">
        <w:rPr>
          <w:rFonts w:ascii="Calibri" w:eastAsia="MS Mincho" w:hAnsi="Calibri" w:cs="Calibri"/>
          <w:b/>
          <w:bCs/>
        </w:rPr>
        <w:t>Identified Gaps &amp; Emerging Concerns</w:t>
      </w:r>
    </w:p>
    <w:p w14:paraId="7F06BBD0" w14:textId="77777777" w:rsidR="002E31D5" w:rsidRPr="00372C6B" w:rsidRDefault="002E31D5" w:rsidP="002E31D5">
      <w:pPr>
        <w:pStyle w:val="ListParagraph"/>
        <w:ind w:left="0"/>
        <w:rPr>
          <w:rFonts w:ascii="Calibri" w:eastAsia="MS Mincho" w:hAnsi="Calibri" w:cs="Calibri"/>
        </w:rPr>
      </w:pPr>
      <w:r w:rsidRPr="00372C6B">
        <w:rPr>
          <w:rFonts w:ascii="Calibri" w:eastAsia="MS Mincho" w:hAnsi="Calibri" w:cs="Calibri"/>
        </w:rPr>
        <w:t xml:space="preserve">While several standards address aspects of reliability, either directly or indirectly, there is currently no enforceable requirement for continuous real-time stability across the BES. While operators can operate within limits, perform assessments, and analyze events, there is no mandate for control-room-grade visibility into dynamic system conditions (e.g., oscillation detection, angular separation, voltage stability margins). This gap is critical as grid conditions evolve and risks of instability increase. Industry guidelines and research recommend these capabilities, yet they remain optional outside of regional practices like the WECC variance. </w:t>
      </w:r>
    </w:p>
    <w:p w14:paraId="09459C1F" w14:textId="77777777" w:rsidR="002E31D5" w:rsidRPr="00372C6B" w:rsidRDefault="002E31D5" w:rsidP="002E31D5">
      <w:pPr>
        <w:pStyle w:val="ListParagraph"/>
        <w:ind w:left="0"/>
        <w:rPr>
          <w:rFonts w:ascii="Calibri" w:eastAsia="MS Mincho" w:hAnsi="Calibri" w:cs="Calibri"/>
        </w:rPr>
      </w:pPr>
    </w:p>
    <w:p w14:paraId="67633332" w14:textId="0B745A85" w:rsidR="002E31D5" w:rsidRPr="00372C6B" w:rsidRDefault="00522435" w:rsidP="00031D02">
      <w:pPr>
        <w:pStyle w:val="ListParagraph"/>
        <w:ind w:left="0"/>
        <w:rPr>
          <w:rFonts w:ascii="Calibri" w:eastAsia="MS Mincho" w:hAnsi="Calibri" w:cs="Calibri"/>
        </w:rPr>
      </w:pPr>
      <w:r w:rsidRPr="00372C6B">
        <w:rPr>
          <w:rFonts w:ascii="Calibri" w:eastAsia="MS Mincho" w:hAnsi="Calibri" w:cs="Calibri"/>
        </w:rPr>
        <w:t>S</w:t>
      </w:r>
      <w:r w:rsidR="002E31D5" w:rsidRPr="00372C6B">
        <w:rPr>
          <w:rFonts w:ascii="Calibri" w:eastAsia="MS Mincho" w:hAnsi="Calibri" w:cs="Calibri"/>
        </w:rPr>
        <w:t>pecific gaps</w:t>
      </w:r>
      <w:r w:rsidRPr="00372C6B">
        <w:rPr>
          <w:rFonts w:ascii="Calibri" w:eastAsia="MS Mincho" w:hAnsi="Calibri" w:cs="Calibri"/>
        </w:rPr>
        <w:t xml:space="preserve"> include</w:t>
      </w:r>
      <w:r w:rsidR="002E31D5" w:rsidRPr="00372C6B">
        <w:rPr>
          <w:rFonts w:ascii="Calibri" w:eastAsia="MS Mincho" w:hAnsi="Calibri" w:cs="Calibri"/>
        </w:rPr>
        <w:t>:</w:t>
      </w:r>
    </w:p>
    <w:p w14:paraId="7973B88B" w14:textId="24C118C5" w:rsidR="00031D02" w:rsidRPr="00372C6B" w:rsidRDefault="00952F34">
      <w:pPr>
        <w:pStyle w:val="ListParagraph"/>
        <w:numPr>
          <w:ilvl w:val="0"/>
          <w:numId w:val="7"/>
        </w:numPr>
        <w:ind w:left="720"/>
        <w:rPr>
          <w:rFonts w:ascii="Calibri" w:eastAsia="MS Mincho" w:hAnsi="Calibri" w:cs="Calibri"/>
        </w:rPr>
      </w:pPr>
      <w:r w:rsidRPr="00372C6B">
        <w:rPr>
          <w:rFonts w:ascii="Calibri" w:eastAsia="MS Mincho" w:hAnsi="Calibri" w:cs="Calibri"/>
          <w:b/>
          <w:bCs/>
        </w:rPr>
        <w:t>No</w:t>
      </w:r>
      <w:r w:rsidR="00031D02" w:rsidRPr="00372C6B">
        <w:rPr>
          <w:rFonts w:ascii="Calibri" w:eastAsia="MS Mincho" w:hAnsi="Calibri" w:cs="Calibri"/>
          <w:b/>
          <w:bCs/>
        </w:rPr>
        <w:t xml:space="preserve"> Explicit Real-time Stability Monitoring Requirement</w:t>
      </w:r>
      <w:r w:rsidRPr="00372C6B">
        <w:rPr>
          <w:rFonts w:ascii="Calibri" w:eastAsia="MS Mincho" w:hAnsi="Calibri" w:cs="Calibri"/>
        </w:rPr>
        <w:t xml:space="preserve">: </w:t>
      </w:r>
      <w:r w:rsidR="00031D02" w:rsidRPr="00372C6B">
        <w:rPr>
          <w:rFonts w:ascii="Calibri" w:eastAsia="MS Mincho" w:hAnsi="Calibri" w:cs="Calibri"/>
        </w:rPr>
        <w:t>Current standards allow compliance via offline studies or predetermined limits, leaving a gap for dynamic monitoring during operations.</w:t>
      </w:r>
    </w:p>
    <w:p w14:paraId="677BA9D9" w14:textId="75C28A9D" w:rsidR="00031D02" w:rsidRPr="00372C6B" w:rsidRDefault="00031D02">
      <w:pPr>
        <w:pStyle w:val="ListParagraph"/>
        <w:numPr>
          <w:ilvl w:val="0"/>
          <w:numId w:val="7"/>
        </w:numPr>
        <w:ind w:left="720"/>
        <w:rPr>
          <w:rFonts w:ascii="Calibri" w:eastAsia="MS Mincho" w:hAnsi="Calibri" w:cs="Calibri"/>
        </w:rPr>
      </w:pPr>
      <w:r w:rsidRPr="00372C6B">
        <w:rPr>
          <w:rFonts w:ascii="Calibri" w:eastAsia="MS Mincho" w:hAnsi="Calibri" w:cs="Calibri"/>
          <w:b/>
          <w:bCs/>
        </w:rPr>
        <w:t xml:space="preserve">Integration </w:t>
      </w:r>
      <w:r w:rsidR="002E31D5" w:rsidRPr="00372C6B">
        <w:rPr>
          <w:rFonts w:ascii="Calibri" w:eastAsia="MS Mincho" w:hAnsi="Calibri" w:cs="Calibri"/>
          <w:b/>
          <w:bCs/>
        </w:rPr>
        <w:t>Challenges with</w:t>
      </w:r>
      <w:r w:rsidRPr="00372C6B">
        <w:rPr>
          <w:rFonts w:ascii="Calibri" w:eastAsia="MS Mincho" w:hAnsi="Calibri" w:cs="Calibri"/>
          <w:b/>
          <w:bCs/>
        </w:rPr>
        <w:t xml:space="preserve"> IBRs and DERs</w:t>
      </w:r>
      <w:r w:rsidR="00952F34" w:rsidRPr="00372C6B">
        <w:rPr>
          <w:rFonts w:ascii="Calibri" w:eastAsia="MS Mincho" w:hAnsi="Calibri" w:cs="Calibri"/>
          <w:b/>
          <w:bCs/>
        </w:rPr>
        <w:t xml:space="preserve">: </w:t>
      </w:r>
      <w:r w:rsidR="00952F34" w:rsidRPr="00372C6B">
        <w:rPr>
          <w:rFonts w:ascii="Calibri" w:eastAsia="MS Mincho" w:hAnsi="Calibri" w:cs="Calibri"/>
        </w:rPr>
        <w:t xml:space="preserve"> </w:t>
      </w:r>
      <w:r w:rsidRPr="00372C6B">
        <w:rPr>
          <w:rFonts w:ascii="Calibri" w:eastAsia="MS Mincho" w:hAnsi="Calibri" w:cs="Calibri"/>
        </w:rPr>
        <w:t xml:space="preserve">Increased penetration of </w:t>
      </w:r>
      <w:r w:rsidR="00BF3C17" w:rsidRPr="00372C6B">
        <w:rPr>
          <w:rFonts w:ascii="Calibri" w:eastAsia="MS Mincho" w:hAnsi="Calibri" w:cs="Calibri"/>
        </w:rPr>
        <w:t>IBRs</w:t>
      </w:r>
      <w:r w:rsidRPr="00372C6B">
        <w:rPr>
          <w:rFonts w:ascii="Calibri" w:eastAsia="MS Mincho" w:hAnsi="Calibri" w:cs="Calibri"/>
        </w:rPr>
        <w:t xml:space="preserve"> </w:t>
      </w:r>
      <w:r w:rsidR="00C5605B" w:rsidRPr="00372C6B">
        <w:rPr>
          <w:rFonts w:ascii="Calibri" w:eastAsia="MS Mincho" w:hAnsi="Calibri" w:cs="Calibri"/>
        </w:rPr>
        <w:t xml:space="preserve">and DERs </w:t>
      </w:r>
      <w:r w:rsidRPr="00372C6B">
        <w:rPr>
          <w:rFonts w:ascii="Calibri" w:eastAsia="MS Mincho" w:hAnsi="Calibri" w:cs="Calibri"/>
        </w:rPr>
        <w:t xml:space="preserve">reduces system inertia and frequency response, </w:t>
      </w:r>
      <w:r w:rsidR="00E443C4" w:rsidRPr="00372C6B">
        <w:rPr>
          <w:rFonts w:ascii="Calibri" w:eastAsia="MS Mincho" w:hAnsi="Calibri" w:cs="Calibri"/>
        </w:rPr>
        <w:t>increasing</w:t>
      </w:r>
      <w:r w:rsidRPr="00372C6B">
        <w:rPr>
          <w:rFonts w:ascii="Calibri" w:eastAsia="MS Mincho" w:hAnsi="Calibri" w:cs="Calibri"/>
        </w:rPr>
        <w:t xml:space="preserve"> the need for real-time stability visibility.</w:t>
      </w:r>
      <w:r w:rsidRPr="00372C6B">
        <w:rPr>
          <w:rStyle w:val="FootnoteReference"/>
          <w:rFonts w:ascii="Calibri" w:eastAsia="MS Mincho" w:hAnsi="Calibri" w:cs="Calibri"/>
        </w:rPr>
        <w:footnoteReference w:id="12"/>
      </w:r>
    </w:p>
    <w:p w14:paraId="0E2FE5B1" w14:textId="65B416CC" w:rsidR="00031D02" w:rsidRPr="00372C6B" w:rsidRDefault="00031D02">
      <w:pPr>
        <w:pStyle w:val="ListParagraph"/>
        <w:numPr>
          <w:ilvl w:val="0"/>
          <w:numId w:val="7"/>
        </w:numPr>
        <w:ind w:left="720"/>
        <w:rPr>
          <w:rFonts w:ascii="Calibri" w:eastAsia="MS Mincho" w:hAnsi="Calibri" w:cs="Calibri"/>
        </w:rPr>
      </w:pPr>
      <w:r w:rsidRPr="00372C6B">
        <w:rPr>
          <w:rFonts w:ascii="Calibri" w:eastAsia="MS Mincho" w:hAnsi="Calibri" w:cs="Calibri"/>
          <w:b/>
          <w:bCs/>
        </w:rPr>
        <w:t xml:space="preserve">Tool and Data </w:t>
      </w:r>
      <w:r w:rsidR="002E31D5" w:rsidRPr="00372C6B">
        <w:rPr>
          <w:rFonts w:ascii="Calibri" w:eastAsia="MS Mincho" w:hAnsi="Calibri" w:cs="Calibri"/>
          <w:b/>
          <w:bCs/>
        </w:rPr>
        <w:t>Limitations for Dynamic Monitoring</w:t>
      </w:r>
      <w:r w:rsidR="00952F34" w:rsidRPr="00372C6B">
        <w:rPr>
          <w:rFonts w:ascii="Calibri" w:eastAsia="MS Mincho" w:hAnsi="Calibri" w:cs="Calibri"/>
          <w:b/>
          <w:bCs/>
        </w:rPr>
        <w:t>:</w:t>
      </w:r>
      <w:r w:rsidR="00952F34" w:rsidRPr="00372C6B">
        <w:rPr>
          <w:rFonts w:ascii="Calibri" w:eastAsia="MS Mincho" w:hAnsi="Calibri" w:cs="Calibri"/>
        </w:rPr>
        <w:t xml:space="preserve"> </w:t>
      </w:r>
      <w:r w:rsidRPr="00372C6B">
        <w:rPr>
          <w:rFonts w:ascii="Calibri" w:eastAsia="MS Mincho" w:hAnsi="Calibri" w:cs="Calibri"/>
        </w:rPr>
        <w:t>Many entities lack advanced tools for oscillation monitoring, angular separation tracking, and voltage stability margin calculations in real time.</w:t>
      </w:r>
    </w:p>
    <w:p w14:paraId="730CC056" w14:textId="13EC883F" w:rsidR="00AF06A5" w:rsidRPr="00372C6B" w:rsidRDefault="00AF06A5">
      <w:pPr>
        <w:pStyle w:val="ListParagraph"/>
        <w:numPr>
          <w:ilvl w:val="0"/>
          <w:numId w:val="7"/>
        </w:numPr>
        <w:ind w:left="720"/>
        <w:rPr>
          <w:rFonts w:ascii="Calibri" w:eastAsia="MS Mincho" w:hAnsi="Calibri" w:cs="Calibri"/>
        </w:rPr>
      </w:pPr>
      <w:r w:rsidRPr="00372C6B">
        <w:rPr>
          <w:rFonts w:ascii="Calibri" w:eastAsia="MS Mincho" w:hAnsi="Calibri" w:cs="Calibri"/>
          <w:b/>
          <w:bCs/>
        </w:rPr>
        <w:t>Assessment Blind Spots</w:t>
      </w:r>
      <w:r w:rsidR="002E31D5" w:rsidRPr="00372C6B">
        <w:rPr>
          <w:rFonts w:ascii="Calibri" w:eastAsia="MS Mincho" w:hAnsi="Calibri" w:cs="Calibri"/>
          <w:b/>
          <w:bCs/>
        </w:rPr>
        <w:t xml:space="preserve"> Under Changing Conditions</w:t>
      </w:r>
      <w:r w:rsidRPr="00372C6B">
        <w:rPr>
          <w:rFonts w:ascii="Calibri" w:eastAsia="MS Mincho" w:hAnsi="Calibri" w:cs="Calibri"/>
        </w:rPr>
        <w:t>: Real-time assessments can meet compliance without showing how stable the system really is, which means operators may miss problems when conditions change quickly.</w:t>
      </w:r>
    </w:p>
    <w:p w14:paraId="5E8B7471" w14:textId="79D7220D" w:rsidR="00031D02" w:rsidRPr="00372C6B" w:rsidRDefault="00031D02">
      <w:pPr>
        <w:pStyle w:val="ListParagraph"/>
        <w:numPr>
          <w:ilvl w:val="0"/>
          <w:numId w:val="7"/>
        </w:numPr>
        <w:ind w:left="720"/>
        <w:rPr>
          <w:rFonts w:ascii="Calibri" w:eastAsia="MS Mincho" w:hAnsi="Calibri" w:cs="Calibri"/>
        </w:rPr>
      </w:pPr>
      <w:r w:rsidRPr="00372C6B">
        <w:rPr>
          <w:rFonts w:ascii="Calibri" w:eastAsia="MS Mincho" w:hAnsi="Calibri" w:cs="Calibri"/>
          <w:b/>
          <w:bCs/>
        </w:rPr>
        <w:lastRenderedPageBreak/>
        <w:t xml:space="preserve">Regional </w:t>
      </w:r>
      <w:r w:rsidR="00E443C4" w:rsidRPr="00372C6B">
        <w:rPr>
          <w:rFonts w:ascii="Calibri" w:eastAsia="MS Mincho" w:hAnsi="Calibri" w:cs="Calibri"/>
          <w:b/>
          <w:bCs/>
        </w:rPr>
        <w:t>Inconsistency</w:t>
      </w:r>
      <w:r w:rsidR="002E31D5" w:rsidRPr="00372C6B">
        <w:rPr>
          <w:rFonts w:ascii="Calibri" w:eastAsia="MS Mincho" w:hAnsi="Calibri" w:cs="Calibri"/>
          <w:b/>
          <w:bCs/>
        </w:rPr>
        <w:t xml:space="preserve"> in Requirements</w:t>
      </w:r>
      <w:r w:rsidR="00952F34" w:rsidRPr="00372C6B">
        <w:rPr>
          <w:rFonts w:ascii="Calibri" w:eastAsia="MS Mincho" w:hAnsi="Calibri" w:cs="Calibri"/>
          <w:b/>
          <w:bCs/>
        </w:rPr>
        <w:t>:</w:t>
      </w:r>
      <w:r w:rsidR="00952F34" w:rsidRPr="00372C6B">
        <w:rPr>
          <w:rFonts w:ascii="Calibri" w:eastAsia="MS Mincho" w:hAnsi="Calibri" w:cs="Calibri"/>
        </w:rPr>
        <w:t xml:space="preserve"> </w:t>
      </w:r>
      <w:r w:rsidRPr="00372C6B">
        <w:rPr>
          <w:rFonts w:ascii="Calibri" w:eastAsia="MS Mincho" w:hAnsi="Calibri" w:cs="Calibri"/>
        </w:rPr>
        <w:t xml:space="preserve">WECC’s additional requirements </w:t>
      </w:r>
      <w:r w:rsidR="00E443C4" w:rsidRPr="00372C6B">
        <w:rPr>
          <w:rFonts w:ascii="Calibri" w:eastAsia="MS Mincho" w:hAnsi="Calibri" w:cs="Calibri"/>
        </w:rPr>
        <w:t>advances oscillation considerations, but similar obligations are not uniform across North America.</w:t>
      </w:r>
    </w:p>
    <w:p w14:paraId="5B18A34C" w14:textId="77777777" w:rsidR="00BC34D1" w:rsidRPr="00372C6B" w:rsidRDefault="00BC34D1" w:rsidP="00BC34D1">
      <w:pPr>
        <w:rPr>
          <w:rFonts w:ascii="Calibri" w:eastAsia="MS Mincho" w:hAnsi="Calibri" w:cs="Calibri"/>
        </w:rPr>
      </w:pPr>
    </w:p>
    <w:p w14:paraId="11454369" w14:textId="0AF471D8" w:rsidR="00BC34D1" w:rsidRPr="00372C6B" w:rsidRDefault="0063709C" w:rsidP="00BC34D1">
      <w:pPr>
        <w:rPr>
          <w:rFonts w:ascii="Calibri" w:eastAsia="MS Mincho" w:hAnsi="Calibri" w:cs="Calibri"/>
          <w:b/>
          <w:bCs/>
        </w:rPr>
      </w:pPr>
      <w:r w:rsidRPr="00372C6B">
        <w:rPr>
          <w:rFonts w:ascii="Calibri" w:eastAsia="MS Mincho" w:hAnsi="Calibri" w:cs="Calibri"/>
          <w:b/>
          <w:bCs/>
        </w:rPr>
        <w:t>Ongoing</w:t>
      </w:r>
      <w:r w:rsidR="007B7331" w:rsidRPr="00372C6B">
        <w:rPr>
          <w:rFonts w:ascii="Calibri" w:eastAsia="MS Mincho" w:hAnsi="Calibri" w:cs="Calibri"/>
          <w:b/>
          <w:bCs/>
        </w:rPr>
        <w:t xml:space="preserve"> </w:t>
      </w:r>
      <w:r w:rsidRPr="00372C6B">
        <w:rPr>
          <w:rFonts w:ascii="Calibri" w:eastAsia="MS Mincho" w:hAnsi="Calibri" w:cs="Calibri"/>
          <w:b/>
          <w:bCs/>
        </w:rPr>
        <w:t>Initiatives</w:t>
      </w:r>
      <w:r w:rsidR="00BC34D1" w:rsidRPr="00372C6B">
        <w:rPr>
          <w:rFonts w:ascii="Calibri" w:eastAsia="MS Mincho" w:hAnsi="Calibri" w:cs="Calibri"/>
          <w:b/>
          <w:bCs/>
        </w:rPr>
        <w:t xml:space="preserve"> </w:t>
      </w:r>
    </w:p>
    <w:p w14:paraId="0085A0CD" w14:textId="6F2078E1" w:rsidR="00BC34D1" w:rsidRPr="00372C6B" w:rsidRDefault="00BC34D1" w:rsidP="00BC34D1">
      <w:pPr>
        <w:rPr>
          <w:rFonts w:ascii="Calibri" w:eastAsia="MS Mincho" w:hAnsi="Calibri" w:cs="Calibri"/>
        </w:rPr>
      </w:pPr>
      <w:r w:rsidRPr="00372C6B">
        <w:rPr>
          <w:rFonts w:ascii="Calibri" w:eastAsia="MS Mincho" w:hAnsi="Calibri" w:cs="Calibri"/>
        </w:rPr>
        <w:t xml:space="preserve">Several </w:t>
      </w:r>
      <w:r w:rsidR="009D0A3A" w:rsidRPr="00372C6B">
        <w:rPr>
          <w:rFonts w:ascii="Calibri" w:eastAsia="MS Mincho" w:hAnsi="Calibri" w:cs="Calibri"/>
        </w:rPr>
        <w:t xml:space="preserve">ongoing regulatory and industry </w:t>
      </w:r>
      <w:r w:rsidRPr="00372C6B">
        <w:rPr>
          <w:rFonts w:ascii="Calibri" w:eastAsia="MS Mincho" w:hAnsi="Calibri" w:cs="Calibri"/>
        </w:rPr>
        <w:t>initiatives aim to address these gaps:</w:t>
      </w:r>
    </w:p>
    <w:p w14:paraId="21769312" w14:textId="64DDDD99" w:rsidR="00BC34D1" w:rsidRPr="00372C6B" w:rsidRDefault="00BC34D1">
      <w:pPr>
        <w:numPr>
          <w:ilvl w:val="0"/>
          <w:numId w:val="8"/>
        </w:numPr>
        <w:rPr>
          <w:rFonts w:ascii="Calibri" w:eastAsia="MS Mincho" w:hAnsi="Calibri" w:cs="Calibri"/>
        </w:rPr>
      </w:pPr>
      <w:r w:rsidRPr="00372C6B">
        <w:rPr>
          <w:rFonts w:ascii="Calibri" w:eastAsia="MS Mincho" w:hAnsi="Calibri" w:cs="Calibri"/>
          <w:b/>
          <w:bCs/>
        </w:rPr>
        <w:t>NASPI SAR Proposal for Real-time Stability Monitoring</w:t>
      </w:r>
      <w:r w:rsidR="00A01806" w:rsidRPr="00372C6B">
        <w:rPr>
          <w:rFonts w:ascii="Calibri" w:eastAsia="MS Mincho" w:hAnsi="Calibri" w:cs="Calibri"/>
        </w:rPr>
        <w:t xml:space="preserve">: </w:t>
      </w:r>
      <w:r w:rsidRPr="00372C6B">
        <w:rPr>
          <w:rFonts w:ascii="Calibri" w:eastAsia="MS Mincho" w:hAnsi="Calibri" w:cs="Calibri"/>
        </w:rPr>
        <w:t xml:space="preserve">A task team is </w:t>
      </w:r>
      <w:r w:rsidR="009D0A3A" w:rsidRPr="00372C6B">
        <w:rPr>
          <w:rFonts w:ascii="Calibri" w:eastAsia="MS Mincho" w:hAnsi="Calibri" w:cs="Calibri"/>
        </w:rPr>
        <w:t xml:space="preserve">currently </w:t>
      </w:r>
      <w:r w:rsidRPr="00372C6B">
        <w:rPr>
          <w:rFonts w:ascii="Calibri" w:eastAsia="MS Mincho" w:hAnsi="Calibri" w:cs="Calibri"/>
        </w:rPr>
        <w:t xml:space="preserve">developing a </w:t>
      </w:r>
      <w:r w:rsidR="009D0A3A" w:rsidRPr="00372C6B">
        <w:rPr>
          <w:rFonts w:ascii="Calibri" w:eastAsia="MS Mincho" w:hAnsi="Calibri" w:cs="Calibri"/>
        </w:rPr>
        <w:t xml:space="preserve">NERC </w:t>
      </w:r>
      <w:r w:rsidRPr="00372C6B">
        <w:rPr>
          <w:rFonts w:ascii="Calibri" w:eastAsia="MS Mincho" w:hAnsi="Calibri" w:cs="Calibri"/>
        </w:rPr>
        <w:t xml:space="preserve">Standard Authorization Request (SAR) </w:t>
      </w:r>
      <w:r w:rsidR="009D0A3A" w:rsidRPr="00372C6B">
        <w:rPr>
          <w:rFonts w:ascii="Calibri" w:eastAsia="MS Mincho" w:hAnsi="Calibri" w:cs="Calibri"/>
        </w:rPr>
        <w:t xml:space="preserve">intended </w:t>
      </w:r>
      <w:r w:rsidRPr="00372C6B">
        <w:rPr>
          <w:rFonts w:ascii="Calibri" w:eastAsia="MS Mincho" w:hAnsi="Calibri" w:cs="Calibri"/>
        </w:rPr>
        <w:t xml:space="preserve">to make real-time stability monitoring </w:t>
      </w:r>
      <w:r w:rsidR="009D0A3A" w:rsidRPr="00372C6B">
        <w:rPr>
          <w:rFonts w:ascii="Calibri" w:eastAsia="MS Mincho" w:hAnsi="Calibri" w:cs="Calibri"/>
        </w:rPr>
        <w:t>a requirement within NERC standards</w:t>
      </w:r>
      <w:r w:rsidRPr="00372C6B">
        <w:rPr>
          <w:rFonts w:ascii="Calibri" w:eastAsia="MS Mincho" w:hAnsi="Calibri" w:cs="Calibri"/>
        </w:rPr>
        <w:t xml:space="preserve">, including operating plans for instability events. </w:t>
      </w:r>
    </w:p>
    <w:p w14:paraId="2C67EF91" w14:textId="6CD43171" w:rsidR="00060A9F" w:rsidRPr="00372C6B" w:rsidRDefault="00BC34D1">
      <w:pPr>
        <w:numPr>
          <w:ilvl w:val="0"/>
          <w:numId w:val="8"/>
        </w:numPr>
        <w:rPr>
          <w:rFonts w:ascii="Calibri" w:eastAsia="MS Mincho" w:hAnsi="Calibri" w:cs="Calibri"/>
        </w:rPr>
      </w:pPr>
      <w:r w:rsidRPr="00372C6B">
        <w:rPr>
          <w:rFonts w:ascii="Calibri" w:eastAsia="MS Mincho" w:hAnsi="Calibri" w:cs="Calibri"/>
          <w:b/>
          <w:bCs/>
        </w:rPr>
        <w:t>FERC Order 901 Implementation</w:t>
      </w:r>
      <w:r w:rsidR="009D0A3A" w:rsidRPr="00372C6B">
        <w:rPr>
          <w:rFonts w:ascii="Calibri" w:eastAsia="MS Mincho" w:hAnsi="Calibri" w:cs="Calibri"/>
          <w:b/>
          <w:bCs/>
        </w:rPr>
        <w:t xml:space="preserve"> (IBR Reliability Enhancements)</w:t>
      </w:r>
      <w:r w:rsidR="00A01806" w:rsidRPr="00372C6B">
        <w:rPr>
          <w:rFonts w:ascii="Calibri" w:eastAsia="MS Mincho" w:hAnsi="Calibri" w:cs="Calibri"/>
        </w:rPr>
        <w:t xml:space="preserve">: </w:t>
      </w:r>
      <w:r w:rsidR="009D0A3A" w:rsidRPr="00372C6B">
        <w:rPr>
          <w:rFonts w:ascii="Calibri" w:eastAsia="MS Mincho" w:hAnsi="Calibri" w:cs="Calibri"/>
        </w:rPr>
        <w:t>FERC Order No. 901 (Oct 2023) directs NERC to develop new and revised standards addressing risks from IBRs, including performance requirements, disturbance monitoring, model validation, and post</w:t>
      </w:r>
      <w:r w:rsidR="009D0A3A" w:rsidRPr="00372C6B">
        <w:rPr>
          <w:rFonts w:ascii="Cambria Math" w:eastAsia="MS Mincho" w:hAnsi="Cambria Math" w:cs="Cambria Math"/>
        </w:rPr>
        <w:t>‑</w:t>
      </w:r>
      <w:r w:rsidR="009D0A3A" w:rsidRPr="00372C6B">
        <w:rPr>
          <w:rFonts w:ascii="Calibri" w:eastAsia="MS Mincho" w:hAnsi="Calibri" w:cs="Calibri"/>
        </w:rPr>
        <w:t>event analytics. Standards associated with real</w:t>
      </w:r>
      <w:r w:rsidR="009D0A3A" w:rsidRPr="00372C6B">
        <w:rPr>
          <w:rFonts w:ascii="Cambria Math" w:eastAsia="MS Mincho" w:hAnsi="Cambria Math" w:cs="Cambria Math"/>
        </w:rPr>
        <w:t>‑</w:t>
      </w:r>
      <w:r w:rsidR="009D0A3A" w:rsidRPr="00372C6B">
        <w:rPr>
          <w:rFonts w:ascii="Calibri" w:eastAsia="MS Mincho" w:hAnsi="Calibri" w:cs="Calibri"/>
        </w:rPr>
        <w:t>time awareness and disturbance visibility form part of Milestone 2 and Milestone 3 workstreams</w:t>
      </w:r>
      <w:r w:rsidR="009D0A3A" w:rsidRPr="00372C6B">
        <w:rPr>
          <w:rStyle w:val="FootnoteReference"/>
          <w:rFonts w:ascii="Calibri" w:eastAsia="MS Mincho" w:hAnsi="Calibri" w:cs="Calibri"/>
        </w:rPr>
        <w:footnoteReference w:id="13"/>
      </w:r>
      <w:r w:rsidR="009D0A3A" w:rsidRPr="00372C6B">
        <w:rPr>
          <w:rFonts w:ascii="Calibri" w:eastAsia="MS Mincho" w:hAnsi="Calibri" w:cs="Calibri"/>
        </w:rPr>
        <w:t xml:space="preserve">. </w:t>
      </w:r>
    </w:p>
    <w:p w14:paraId="397A896D" w14:textId="77777777" w:rsidR="00060A9F" w:rsidRPr="00372C6B" w:rsidRDefault="00060A9F" w:rsidP="00060A9F">
      <w:pPr>
        <w:ind w:left="720"/>
        <w:rPr>
          <w:rFonts w:ascii="Calibri" w:eastAsia="MS Mincho" w:hAnsi="Calibri" w:cs="Calibri"/>
        </w:rPr>
      </w:pPr>
      <w:r w:rsidRPr="00372C6B">
        <w:rPr>
          <w:rFonts w:ascii="Calibri" w:eastAsia="MS Mincho" w:hAnsi="Calibri" w:cs="Calibri"/>
        </w:rPr>
        <w:t>Two major standards developed under Order 901 are:</w:t>
      </w:r>
    </w:p>
    <w:p w14:paraId="13EFAE58" w14:textId="46D5B3DC" w:rsidR="005C7E93" w:rsidRPr="00372C6B" w:rsidRDefault="005C7E93">
      <w:pPr>
        <w:numPr>
          <w:ilvl w:val="1"/>
          <w:numId w:val="8"/>
        </w:numPr>
        <w:rPr>
          <w:rFonts w:ascii="Calibri" w:eastAsia="MS Mincho" w:hAnsi="Calibri" w:cs="Calibri"/>
        </w:rPr>
      </w:pPr>
      <w:r w:rsidRPr="00372C6B">
        <w:rPr>
          <w:rFonts w:ascii="Calibri" w:hAnsi="Calibri" w:cs="Calibri"/>
        </w:rPr>
        <w:t>PRC-028</w:t>
      </w:r>
      <w:r w:rsidR="00060A9F" w:rsidRPr="00372C6B">
        <w:rPr>
          <w:rFonts w:ascii="Calibri" w:hAnsi="Calibri" w:cs="Calibri"/>
        </w:rPr>
        <w:t>-1</w:t>
      </w:r>
      <w:r w:rsidRPr="00372C6B">
        <w:rPr>
          <w:rFonts w:ascii="Calibri" w:hAnsi="Calibri" w:cs="Calibri"/>
        </w:rPr>
        <w:t xml:space="preserve"> </w:t>
      </w:r>
      <w:r w:rsidR="00060A9F" w:rsidRPr="00372C6B">
        <w:rPr>
          <w:rFonts w:ascii="Calibri" w:hAnsi="Calibri" w:cs="Calibri"/>
        </w:rPr>
        <w:t xml:space="preserve">(Disturbance Monitoring and Reporting for IBRs): Establishes </w:t>
      </w:r>
      <w:r w:rsidRPr="00372C6B">
        <w:rPr>
          <w:rFonts w:ascii="Calibri" w:hAnsi="Calibri" w:cs="Calibri"/>
        </w:rPr>
        <w:t xml:space="preserve">mandatory </w:t>
      </w:r>
      <w:r w:rsidR="00060A9F" w:rsidRPr="00372C6B">
        <w:rPr>
          <w:rFonts w:ascii="Calibri" w:hAnsi="Calibri" w:cs="Calibri"/>
        </w:rPr>
        <w:t xml:space="preserve">disturbance data </w:t>
      </w:r>
      <w:r w:rsidRPr="00372C6B">
        <w:rPr>
          <w:rFonts w:ascii="Calibri" w:hAnsi="Calibri" w:cs="Calibri"/>
        </w:rPr>
        <w:t xml:space="preserve">collection </w:t>
      </w:r>
      <w:r w:rsidR="00060A9F" w:rsidRPr="00372C6B">
        <w:rPr>
          <w:rFonts w:ascii="Calibri" w:hAnsi="Calibri" w:cs="Calibri"/>
        </w:rPr>
        <w:t>for BES and non-BES IBRs, including</w:t>
      </w:r>
      <w:r w:rsidRPr="00372C6B">
        <w:rPr>
          <w:rFonts w:ascii="Calibri" w:hAnsi="Calibri" w:cs="Calibri"/>
        </w:rPr>
        <w:t xml:space="preserve"> SER/FR/DDR to improve visibility of IBR behavior during faults/oscillations and support model validation, complementing real</w:t>
      </w:r>
      <w:r w:rsidRPr="00372C6B">
        <w:rPr>
          <w:rFonts w:ascii="Cambria Math" w:hAnsi="Cambria Math" w:cs="Cambria Math"/>
        </w:rPr>
        <w:t>‑</w:t>
      </w:r>
      <w:r w:rsidRPr="00372C6B">
        <w:rPr>
          <w:rFonts w:ascii="Calibri" w:hAnsi="Calibri" w:cs="Calibri"/>
        </w:rPr>
        <w:t>time assessments with higher</w:t>
      </w:r>
      <w:r w:rsidRPr="00372C6B">
        <w:rPr>
          <w:rFonts w:ascii="Cambria Math" w:hAnsi="Cambria Math" w:cs="Cambria Math"/>
        </w:rPr>
        <w:t>‑</w:t>
      </w:r>
      <w:r w:rsidRPr="00372C6B">
        <w:rPr>
          <w:rFonts w:ascii="Calibri" w:hAnsi="Calibri" w:cs="Calibri"/>
        </w:rPr>
        <w:t>fidelity IBR data.</w:t>
      </w:r>
    </w:p>
    <w:p w14:paraId="5CF4CEAA" w14:textId="5E85AE02" w:rsidR="00BC34D1" w:rsidRPr="00372C6B" w:rsidRDefault="005C7E93">
      <w:pPr>
        <w:numPr>
          <w:ilvl w:val="1"/>
          <w:numId w:val="8"/>
        </w:numPr>
        <w:rPr>
          <w:rFonts w:ascii="Calibri" w:eastAsia="MS Mincho" w:hAnsi="Calibri" w:cs="Calibri"/>
        </w:rPr>
      </w:pPr>
      <w:r w:rsidRPr="00372C6B">
        <w:rPr>
          <w:rFonts w:ascii="Calibri" w:eastAsia="MS Mincho" w:hAnsi="Calibri" w:cs="Calibri"/>
        </w:rPr>
        <w:t>PRC-029</w:t>
      </w:r>
      <w:r w:rsidR="00060A9F" w:rsidRPr="00372C6B">
        <w:rPr>
          <w:rFonts w:ascii="Calibri" w:eastAsia="MS Mincho" w:hAnsi="Calibri" w:cs="Calibri"/>
        </w:rPr>
        <w:t>-1</w:t>
      </w:r>
      <w:r w:rsidRPr="00372C6B">
        <w:rPr>
          <w:rFonts w:ascii="Calibri" w:eastAsia="MS Mincho" w:hAnsi="Calibri" w:cs="Calibri"/>
        </w:rPr>
        <w:t xml:space="preserve"> </w:t>
      </w:r>
      <w:r w:rsidR="00060A9F" w:rsidRPr="00372C6B">
        <w:rPr>
          <w:rFonts w:ascii="Calibri" w:eastAsia="MS Mincho" w:hAnsi="Calibri" w:cs="Calibri"/>
        </w:rPr>
        <w:t>(Frequency and Voltage Ride</w:t>
      </w:r>
      <w:r w:rsidR="00060A9F" w:rsidRPr="00372C6B">
        <w:rPr>
          <w:rFonts w:ascii="Cambria Math" w:eastAsia="MS Mincho" w:hAnsi="Cambria Math" w:cs="Cambria Math"/>
        </w:rPr>
        <w:t>‑</w:t>
      </w:r>
      <w:r w:rsidR="00060A9F" w:rsidRPr="00372C6B">
        <w:rPr>
          <w:rFonts w:ascii="Calibri" w:eastAsia="MS Mincho" w:hAnsi="Calibri" w:cs="Calibri"/>
        </w:rPr>
        <w:t xml:space="preserve">Through Requirements for IBRs): </w:t>
      </w:r>
      <w:r w:rsidR="00060A9F" w:rsidRPr="00372C6B">
        <w:rPr>
          <w:rFonts w:ascii="Calibri" w:hAnsi="Calibri" w:cs="Calibri"/>
        </w:rPr>
        <w:t xml:space="preserve">Requires </w:t>
      </w:r>
      <w:r w:rsidRPr="00372C6B">
        <w:rPr>
          <w:rFonts w:ascii="Calibri" w:hAnsi="Calibri" w:cs="Calibri"/>
        </w:rPr>
        <w:t>IBRs to ride</w:t>
      </w:r>
      <w:r w:rsidRPr="00372C6B">
        <w:rPr>
          <w:rFonts w:ascii="Cambria Math" w:hAnsi="Cambria Math" w:cs="Cambria Math"/>
        </w:rPr>
        <w:t>‑</w:t>
      </w:r>
      <w:r w:rsidRPr="00372C6B">
        <w:rPr>
          <w:rFonts w:ascii="Calibri" w:hAnsi="Calibri" w:cs="Calibri"/>
        </w:rPr>
        <w:t xml:space="preserve">through defined voltage/frequency excursions, reducing trips and supporting grid stability in real time. FERC’s Order No. 909 approved the standard and set implementation expectations, directly tied to maintaining stability during dynamic events. </w:t>
      </w:r>
      <w:r w:rsidR="00060A9F" w:rsidRPr="00372C6B">
        <w:rPr>
          <w:rFonts w:ascii="Calibri" w:hAnsi="Calibri" w:cs="Calibri"/>
        </w:rPr>
        <w:t>This standard directly supports system stability by reducing unnecessary IBR tripping during disturbances.</w:t>
      </w:r>
    </w:p>
    <w:p w14:paraId="30840ACD" w14:textId="20AF284C" w:rsidR="00BC34D1" w:rsidRPr="00372C6B" w:rsidRDefault="00BC34D1">
      <w:pPr>
        <w:numPr>
          <w:ilvl w:val="0"/>
          <w:numId w:val="8"/>
        </w:numPr>
        <w:rPr>
          <w:rFonts w:ascii="Calibri" w:eastAsia="MS Mincho" w:hAnsi="Calibri" w:cs="Calibri"/>
        </w:rPr>
      </w:pPr>
      <w:r w:rsidRPr="00372C6B">
        <w:rPr>
          <w:rFonts w:ascii="Calibri" w:eastAsia="MS Mincho" w:hAnsi="Calibri" w:cs="Calibri"/>
          <w:b/>
          <w:bCs/>
        </w:rPr>
        <w:t>Disturbance Monitoring Enhancements</w:t>
      </w:r>
      <w:r w:rsidR="00060A9F" w:rsidRPr="00372C6B">
        <w:rPr>
          <w:rFonts w:ascii="Calibri" w:eastAsia="MS Mincho" w:hAnsi="Calibri" w:cs="Calibri"/>
          <w:b/>
          <w:bCs/>
        </w:rPr>
        <w:t xml:space="preserve"> (PRC-002-5 &amp; PRC-028-1)</w:t>
      </w:r>
      <w:r w:rsidR="00060A9F" w:rsidRPr="00372C6B">
        <w:rPr>
          <w:rStyle w:val="FootnoteReference"/>
          <w:rFonts w:ascii="Calibri" w:eastAsia="MS Mincho" w:hAnsi="Calibri" w:cs="Calibri"/>
        </w:rPr>
        <w:footnoteReference w:id="14"/>
      </w:r>
      <w:r w:rsidR="00A01806" w:rsidRPr="00372C6B">
        <w:rPr>
          <w:rFonts w:ascii="Calibri" w:eastAsia="MS Mincho" w:hAnsi="Calibri" w:cs="Calibri"/>
        </w:rPr>
        <w:t xml:space="preserve">: </w:t>
      </w:r>
      <w:r w:rsidRPr="00372C6B">
        <w:rPr>
          <w:rFonts w:ascii="Calibri" w:eastAsia="MS Mincho" w:hAnsi="Calibri" w:cs="Calibri"/>
        </w:rPr>
        <w:t xml:space="preserve">PRC-002-5 </w:t>
      </w:r>
      <w:r w:rsidR="00060A9F" w:rsidRPr="00372C6B">
        <w:rPr>
          <w:rFonts w:ascii="Calibri" w:eastAsia="MS Mincho" w:hAnsi="Calibri" w:cs="Calibri"/>
        </w:rPr>
        <w:t>updates disturbance monitoring requirements for synchronous resources, explicitly excluding IBRs</w:t>
      </w:r>
      <w:r w:rsidR="00A607CD" w:rsidRPr="00372C6B">
        <w:rPr>
          <w:rFonts w:ascii="Calibri" w:eastAsia="MS Mincho" w:hAnsi="Calibri" w:cs="Calibri"/>
        </w:rPr>
        <w:t xml:space="preserve">, while </w:t>
      </w:r>
      <w:r w:rsidRPr="00372C6B">
        <w:rPr>
          <w:rFonts w:ascii="Calibri" w:eastAsia="MS Mincho" w:hAnsi="Calibri" w:cs="Calibri"/>
        </w:rPr>
        <w:t xml:space="preserve">PRC-028-1 </w:t>
      </w:r>
      <w:r w:rsidR="006C7B0C" w:rsidRPr="00372C6B">
        <w:rPr>
          <w:rFonts w:ascii="Calibri" w:eastAsia="MS Mincho" w:hAnsi="Calibri" w:cs="Calibri"/>
        </w:rPr>
        <w:t>fills the monitoring gap for inverter</w:t>
      </w:r>
      <w:r w:rsidR="006C7B0C" w:rsidRPr="00372C6B">
        <w:rPr>
          <w:rFonts w:ascii="Cambria Math" w:eastAsia="MS Mincho" w:hAnsi="Cambria Math" w:cs="Cambria Math"/>
        </w:rPr>
        <w:t>‑</w:t>
      </w:r>
      <w:r w:rsidR="006C7B0C" w:rsidRPr="00372C6B">
        <w:rPr>
          <w:rFonts w:ascii="Calibri" w:eastAsia="MS Mincho" w:hAnsi="Calibri" w:cs="Calibri"/>
        </w:rPr>
        <w:t>based resources, addressing the lack of high</w:t>
      </w:r>
      <w:r w:rsidR="006C7B0C" w:rsidRPr="00372C6B">
        <w:rPr>
          <w:rFonts w:ascii="Cambria Math" w:eastAsia="MS Mincho" w:hAnsi="Cambria Math" w:cs="Cambria Math"/>
        </w:rPr>
        <w:t>‑</w:t>
      </w:r>
      <w:r w:rsidR="006C7B0C" w:rsidRPr="00372C6B">
        <w:rPr>
          <w:rFonts w:ascii="Calibri" w:eastAsia="MS Mincho" w:hAnsi="Calibri" w:cs="Calibri"/>
        </w:rPr>
        <w:t xml:space="preserve">fidelity event data highlighted in past disturbances (e.g., Blue Cut Fire, </w:t>
      </w:r>
      <w:r w:rsidR="006C7B0C" w:rsidRPr="00372C6B">
        <w:rPr>
          <w:rFonts w:ascii="Calibri" w:eastAsia="MS Mincho" w:hAnsi="Calibri" w:cs="Calibri"/>
        </w:rPr>
        <w:lastRenderedPageBreak/>
        <w:t>Canyon 2</w:t>
      </w:r>
      <w:r w:rsidR="00A23114" w:rsidRPr="00372C6B">
        <w:rPr>
          <w:rFonts w:ascii="Calibri" w:eastAsia="MS Mincho" w:hAnsi="Calibri" w:cs="Calibri"/>
        </w:rPr>
        <w:t xml:space="preserve"> Fire</w:t>
      </w:r>
      <w:r w:rsidR="006C7B0C" w:rsidRPr="00372C6B">
        <w:rPr>
          <w:rFonts w:ascii="Calibri" w:eastAsia="MS Mincho" w:hAnsi="Calibri" w:cs="Calibri"/>
        </w:rPr>
        <w:t>, Odessa</w:t>
      </w:r>
      <w:r w:rsidR="00A23114" w:rsidRPr="00372C6B">
        <w:rPr>
          <w:rFonts w:ascii="Calibri" w:eastAsia="MS Mincho" w:hAnsi="Calibri" w:cs="Calibri"/>
        </w:rPr>
        <w:t xml:space="preserve"> Disturbance</w:t>
      </w:r>
      <w:r w:rsidR="006C7B0C" w:rsidRPr="00372C6B">
        <w:rPr>
          <w:rFonts w:ascii="Calibri" w:eastAsia="MS Mincho" w:hAnsi="Calibri" w:cs="Calibri"/>
        </w:rPr>
        <w:t>).</w:t>
      </w:r>
      <w:r w:rsidRPr="00372C6B">
        <w:rPr>
          <w:rFonts w:ascii="Calibri" w:eastAsia="MS Mincho" w:hAnsi="Calibri" w:cs="Calibri"/>
        </w:rPr>
        <w:t xml:space="preserve"> </w:t>
      </w:r>
      <w:r w:rsidR="006C7B0C" w:rsidRPr="00372C6B">
        <w:rPr>
          <w:rFonts w:ascii="Calibri" w:eastAsia="MS Mincho" w:hAnsi="Calibri" w:cs="Calibri"/>
        </w:rPr>
        <w:t>Together, these create parallel disturbance</w:t>
      </w:r>
      <w:r w:rsidR="006C7B0C" w:rsidRPr="00372C6B">
        <w:rPr>
          <w:rFonts w:ascii="Cambria Math" w:eastAsia="MS Mincho" w:hAnsi="Cambria Math" w:cs="Cambria Math"/>
        </w:rPr>
        <w:t>‑</w:t>
      </w:r>
      <w:r w:rsidR="006C7B0C" w:rsidRPr="00372C6B">
        <w:rPr>
          <w:rFonts w:ascii="Calibri" w:eastAsia="MS Mincho" w:hAnsi="Calibri" w:cs="Calibri"/>
        </w:rPr>
        <w:t>monitoring frameworks for synchronous generation and IBRs.</w:t>
      </w:r>
    </w:p>
    <w:p w14:paraId="18E58E68" w14:textId="77777777" w:rsidR="006E2255" w:rsidRPr="00372C6B" w:rsidRDefault="006E2255" w:rsidP="006E2255">
      <w:pPr>
        <w:rPr>
          <w:rFonts w:ascii="Calibri" w:eastAsia="MS Mincho" w:hAnsi="Calibri" w:cs="Calibri"/>
        </w:rPr>
      </w:pPr>
    </w:p>
    <w:p w14:paraId="236F3DB7" w14:textId="10679FEE" w:rsidR="00826793" w:rsidRPr="00372C6B" w:rsidRDefault="00826793" w:rsidP="006E2255">
      <w:pPr>
        <w:rPr>
          <w:rFonts w:ascii="Calibri" w:eastAsia="MS Mincho" w:hAnsi="Calibri" w:cs="Calibri"/>
          <w:b/>
          <w:bCs/>
        </w:rPr>
      </w:pPr>
      <w:r w:rsidRPr="00372C6B">
        <w:rPr>
          <w:rFonts w:ascii="Calibri" w:eastAsia="MS Mincho" w:hAnsi="Calibri" w:cs="Calibri"/>
          <w:b/>
          <w:bCs/>
        </w:rPr>
        <w:t xml:space="preserve">Proposed Changes to NERC Requirements to </w:t>
      </w:r>
      <w:r w:rsidR="00804486" w:rsidRPr="00372C6B">
        <w:rPr>
          <w:rFonts w:ascii="Calibri" w:eastAsia="MS Mincho" w:hAnsi="Calibri" w:cs="Calibri"/>
          <w:b/>
          <w:bCs/>
        </w:rPr>
        <w:t xml:space="preserve">Mandate </w:t>
      </w:r>
      <w:r w:rsidRPr="00372C6B">
        <w:rPr>
          <w:rFonts w:ascii="Calibri" w:eastAsia="MS Mincho" w:hAnsi="Calibri" w:cs="Calibri"/>
          <w:b/>
          <w:bCs/>
        </w:rPr>
        <w:t>the Real Time</w:t>
      </w:r>
      <w:r w:rsidR="00355089" w:rsidRPr="00372C6B">
        <w:rPr>
          <w:rFonts w:ascii="Calibri" w:eastAsia="MS Mincho" w:hAnsi="Calibri" w:cs="Calibri"/>
          <w:b/>
          <w:bCs/>
        </w:rPr>
        <w:t xml:space="preserve"> and Lookahead</w:t>
      </w:r>
      <w:r w:rsidRPr="00372C6B">
        <w:rPr>
          <w:rFonts w:ascii="Calibri" w:eastAsia="MS Mincho" w:hAnsi="Calibri" w:cs="Calibri"/>
          <w:b/>
          <w:bCs/>
        </w:rPr>
        <w:t xml:space="preserve"> Stability </w:t>
      </w:r>
      <w:r w:rsidR="00317874" w:rsidRPr="00372C6B">
        <w:rPr>
          <w:rFonts w:ascii="Calibri" w:eastAsia="MS Mincho" w:hAnsi="Calibri" w:cs="Calibri"/>
          <w:b/>
          <w:bCs/>
        </w:rPr>
        <w:t>Monitoring</w:t>
      </w:r>
    </w:p>
    <w:p w14:paraId="0D9F867D" w14:textId="07623D74" w:rsidR="00B7571E" w:rsidRPr="00372C6B" w:rsidRDefault="0082008F" w:rsidP="006E2255">
      <w:pPr>
        <w:rPr>
          <w:rFonts w:ascii="Calibri" w:eastAsia="MS Mincho" w:hAnsi="Calibri" w:cs="Calibri"/>
        </w:rPr>
      </w:pPr>
      <w:r w:rsidRPr="00372C6B">
        <w:rPr>
          <w:rFonts w:ascii="Calibri" w:eastAsia="MS Mincho" w:hAnsi="Calibri" w:cs="Calibri"/>
        </w:rPr>
        <w:t>To close this reliability gap, we propose targeted changes to existing standards (and, where beneficial, the creation of a new standard) that would require RCs and TOPs to monitor, assess, communicate, and act on stability conditions in both real time and lookahead horizons. These changes include:</w:t>
      </w:r>
    </w:p>
    <w:p w14:paraId="2799852D" w14:textId="4D34D703" w:rsidR="0082008F" w:rsidRPr="00372C6B" w:rsidRDefault="0082008F">
      <w:pPr>
        <w:numPr>
          <w:ilvl w:val="0"/>
          <w:numId w:val="13"/>
        </w:numPr>
        <w:rPr>
          <w:rFonts w:ascii="Calibri" w:hAnsi="Calibri" w:cs="Calibri"/>
        </w:rPr>
      </w:pPr>
      <w:r w:rsidRPr="00372C6B">
        <w:rPr>
          <w:rFonts w:ascii="Calibri" w:hAnsi="Calibri" w:cs="Calibri"/>
          <w:b/>
          <w:bCs/>
        </w:rPr>
        <w:t>Explicit RealTime Stability Monitoring Requirements</w:t>
      </w:r>
      <w:r w:rsidRPr="00372C6B">
        <w:rPr>
          <w:rFonts w:ascii="Calibri" w:hAnsi="Calibri" w:cs="Calibri"/>
        </w:rPr>
        <w:t xml:space="preserve"> using SCADA/SE augmented with WAMS/PMU</w:t>
      </w:r>
      <w:r w:rsidR="3055E99C" w:rsidRPr="00372C6B">
        <w:rPr>
          <w:rFonts w:ascii="Calibri" w:hAnsi="Calibri" w:cs="Calibri"/>
        </w:rPr>
        <w:t>-</w:t>
      </w:r>
      <w:r w:rsidRPr="00372C6B">
        <w:rPr>
          <w:rFonts w:ascii="Calibri" w:hAnsi="Calibri" w:cs="Calibri"/>
        </w:rPr>
        <w:t xml:space="preserve">based oscillation detection, angular separation metrics, and stability margin indicators. </w:t>
      </w:r>
    </w:p>
    <w:p w14:paraId="4796C8D1" w14:textId="60EC5448" w:rsidR="0082008F" w:rsidRPr="00372C6B" w:rsidRDefault="0082008F">
      <w:pPr>
        <w:numPr>
          <w:ilvl w:val="0"/>
          <w:numId w:val="13"/>
        </w:numPr>
        <w:rPr>
          <w:rFonts w:ascii="Calibri" w:hAnsi="Calibri" w:cs="Calibri"/>
        </w:rPr>
      </w:pPr>
      <w:r w:rsidRPr="00372C6B">
        <w:rPr>
          <w:rFonts w:ascii="Calibri" w:hAnsi="Calibri" w:cs="Calibri"/>
          <w:b/>
          <w:bCs/>
        </w:rPr>
        <w:t>RTA Definition and Requirement Updates</w:t>
      </w:r>
      <w:r w:rsidRPr="00372C6B">
        <w:rPr>
          <w:rFonts w:ascii="Calibri" w:hAnsi="Calibri" w:cs="Calibri"/>
        </w:rPr>
        <w:t xml:space="preserve"> to ensure RTAs include stability assessments (transient voltage response, oscillation damping, angular stability, </w:t>
      </w:r>
      <w:r w:rsidR="74ABC23F" w:rsidRPr="00372C6B">
        <w:rPr>
          <w:rFonts w:ascii="Calibri" w:hAnsi="Calibri" w:cs="Calibri"/>
        </w:rPr>
        <w:t>post contingent</w:t>
      </w:r>
      <w:r w:rsidRPr="00372C6B">
        <w:rPr>
          <w:rFonts w:ascii="Calibri" w:hAnsi="Calibri" w:cs="Calibri"/>
        </w:rPr>
        <w:t xml:space="preserve"> margins). </w:t>
      </w:r>
    </w:p>
    <w:p w14:paraId="7EA2DFFA" w14:textId="1BDEFEAF" w:rsidR="0082008F" w:rsidRPr="00372C6B" w:rsidRDefault="0082008F">
      <w:pPr>
        <w:numPr>
          <w:ilvl w:val="0"/>
          <w:numId w:val="13"/>
        </w:numPr>
        <w:rPr>
          <w:rFonts w:ascii="Calibri" w:hAnsi="Calibri" w:cs="Calibri"/>
        </w:rPr>
      </w:pPr>
      <w:r w:rsidRPr="00372C6B">
        <w:rPr>
          <w:rFonts w:ascii="Calibri" w:hAnsi="Calibri" w:cs="Calibri"/>
          <w:b/>
          <w:bCs/>
        </w:rPr>
        <w:t>Edits to IRO/TOP Standards</w:t>
      </w:r>
      <w:r w:rsidRPr="00372C6B">
        <w:rPr>
          <w:rFonts w:ascii="Calibri" w:hAnsi="Calibri" w:cs="Calibri"/>
        </w:rPr>
        <w:t xml:space="preserve"> to mandate pre</w:t>
      </w:r>
      <w:r w:rsidR="244D3A4B" w:rsidRPr="00372C6B">
        <w:rPr>
          <w:rFonts w:ascii="Calibri" w:hAnsi="Calibri" w:cs="Calibri"/>
        </w:rPr>
        <w:t xml:space="preserve"> </w:t>
      </w:r>
      <w:r w:rsidRPr="00372C6B">
        <w:rPr>
          <w:rFonts w:ascii="Calibri" w:hAnsi="Calibri" w:cs="Calibri"/>
        </w:rPr>
        <w:t xml:space="preserve">contingent and lookahead stability analyses, with decision thresholds and alarm/notification criteria. </w:t>
      </w:r>
    </w:p>
    <w:p w14:paraId="497762CB" w14:textId="589997A3" w:rsidR="0082008F" w:rsidRPr="00372C6B" w:rsidRDefault="0082008F">
      <w:pPr>
        <w:numPr>
          <w:ilvl w:val="0"/>
          <w:numId w:val="13"/>
        </w:numPr>
        <w:rPr>
          <w:rFonts w:ascii="Calibri" w:hAnsi="Calibri" w:cs="Calibri"/>
        </w:rPr>
      </w:pPr>
      <w:r w:rsidRPr="00372C6B">
        <w:rPr>
          <w:rFonts w:ascii="Calibri" w:hAnsi="Calibri" w:cs="Calibri"/>
          <w:b/>
          <w:bCs/>
        </w:rPr>
        <w:t>Stability</w:t>
      </w:r>
      <w:r w:rsidR="007044A2" w:rsidRPr="00372C6B">
        <w:rPr>
          <w:rFonts w:ascii="Calibri" w:hAnsi="Calibri" w:cs="Calibri"/>
          <w:b/>
          <w:bCs/>
        </w:rPr>
        <w:t xml:space="preserve"> </w:t>
      </w:r>
      <w:r w:rsidRPr="00372C6B">
        <w:rPr>
          <w:rFonts w:ascii="Calibri" w:hAnsi="Calibri" w:cs="Calibri"/>
          <w:b/>
          <w:bCs/>
        </w:rPr>
        <w:t>Focused Operating Plans</w:t>
      </w:r>
      <w:r w:rsidRPr="00372C6B">
        <w:rPr>
          <w:rFonts w:ascii="Calibri" w:hAnsi="Calibri" w:cs="Calibri"/>
        </w:rPr>
        <w:t xml:space="preserve"> detailing specific actions for </w:t>
      </w:r>
      <w:r w:rsidR="02C16484" w:rsidRPr="00372C6B">
        <w:rPr>
          <w:rFonts w:ascii="Calibri" w:hAnsi="Calibri" w:cs="Calibri"/>
        </w:rPr>
        <w:t>low damping</w:t>
      </w:r>
      <w:r w:rsidRPr="00372C6B">
        <w:rPr>
          <w:rFonts w:ascii="Calibri" w:hAnsi="Calibri" w:cs="Calibri"/>
        </w:rPr>
        <w:t xml:space="preserve"> oscillations, angular instability risk, voltage instability margins, and IBR</w:t>
      </w:r>
      <w:r w:rsidR="548AE1B7" w:rsidRPr="00372C6B">
        <w:rPr>
          <w:rFonts w:ascii="Calibri" w:hAnsi="Calibri" w:cs="Calibri"/>
        </w:rPr>
        <w:t xml:space="preserve"> </w:t>
      </w:r>
      <w:r w:rsidRPr="00372C6B">
        <w:rPr>
          <w:rFonts w:ascii="Calibri" w:hAnsi="Calibri" w:cs="Calibri"/>
        </w:rPr>
        <w:t xml:space="preserve">control interactions. </w:t>
      </w:r>
    </w:p>
    <w:p w14:paraId="0415F205" w14:textId="1EFBF2FD" w:rsidR="0082008F" w:rsidRPr="00372C6B" w:rsidRDefault="0082008F">
      <w:pPr>
        <w:numPr>
          <w:ilvl w:val="0"/>
          <w:numId w:val="13"/>
        </w:numPr>
        <w:rPr>
          <w:rFonts w:ascii="Calibri" w:hAnsi="Calibri" w:cs="Calibri"/>
        </w:rPr>
      </w:pPr>
      <w:r w:rsidRPr="00372C6B">
        <w:rPr>
          <w:rFonts w:ascii="Calibri" w:hAnsi="Calibri" w:cs="Calibri"/>
          <w:b/>
          <w:bCs/>
        </w:rPr>
        <w:t>Inter</w:t>
      </w:r>
      <w:r w:rsidR="4F4E6537" w:rsidRPr="00372C6B">
        <w:rPr>
          <w:rFonts w:ascii="Calibri" w:hAnsi="Calibri" w:cs="Calibri"/>
          <w:b/>
          <w:bCs/>
        </w:rPr>
        <w:t>-</w:t>
      </w:r>
      <w:r w:rsidRPr="00372C6B">
        <w:rPr>
          <w:rFonts w:ascii="Calibri" w:hAnsi="Calibri" w:cs="Calibri"/>
          <w:b/>
          <w:bCs/>
        </w:rPr>
        <w:t>Entity Communications Protocols</w:t>
      </w:r>
      <w:r w:rsidRPr="00372C6B">
        <w:rPr>
          <w:rFonts w:ascii="Calibri" w:hAnsi="Calibri" w:cs="Calibri"/>
        </w:rPr>
        <w:t xml:space="preserve"> triggered by stability indicators (analogous to SOL/IROL exceedance communications). </w:t>
      </w:r>
    </w:p>
    <w:p w14:paraId="7FAD2351" w14:textId="64777634" w:rsidR="0082008F" w:rsidRPr="00372C6B" w:rsidRDefault="0082008F">
      <w:pPr>
        <w:numPr>
          <w:ilvl w:val="0"/>
          <w:numId w:val="13"/>
        </w:numPr>
        <w:rPr>
          <w:rFonts w:ascii="Calibri" w:eastAsia="MS Mincho" w:hAnsi="Calibri" w:cs="Calibri"/>
          <w:b/>
          <w:bCs/>
        </w:rPr>
      </w:pPr>
      <w:r w:rsidRPr="00372C6B">
        <w:rPr>
          <w:rFonts w:ascii="Calibri" w:hAnsi="Calibri" w:cs="Calibri"/>
          <w:b/>
          <w:bCs/>
        </w:rPr>
        <w:t>Potential New Standard</w:t>
      </w:r>
      <w:r w:rsidRPr="00372C6B">
        <w:rPr>
          <w:rFonts w:ascii="Calibri" w:hAnsi="Calibri" w:cs="Calibri"/>
        </w:rPr>
        <w:t xml:space="preserve"> defining minimum tool capabilities and operational response expectations for </w:t>
      </w:r>
      <w:r w:rsidR="3C22BE8C" w:rsidRPr="00372C6B">
        <w:rPr>
          <w:rFonts w:ascii="Calibri" w:hAnsi="Calibri" w:cs="Calibri"/>
        </w:rPr>
        <w:t>real-time</w:t>
      </w:r>
      <w:r w:rsidRPr="00372C6B">
        <w:rPr>
          <w:rFonts w:ascii="Calibri" w:hAnsi="Calibri" w:cs="Calibri"/>
        </w:rPr>
        <w:t xml:space="preserve"> stability monitoring and mitigation, aligned with the broader NERC program of IBR/dynamics enhancements. </w:t>
      </w:r>
    </w:p>
    <w:p w14:paraId="176DFB90" w14:textId="77777777" w:rsidR="003F04A9" w:rsidRPr="00372C6B" w:rsidRDefault="003F04A9" w:rsidP="006E2255">
      <w:pPr>
        <w:rPr>
          <w:rFonts w:ascii="Calibri" w:eastAsia="MS Mincho" w:hAnsi="Calibri" w:cs="Calibri"/>
          <w:b/>
          <w:bCs/>
        </w:rPr>
      </w:pPr>
    </w:p>
    <w:p w14:paraId="58C5A1BF" w14:textId="76D2FE2D" w:rsidR="0082008F" w:rsidRPr="00372C6B" w:rsidRDefault="0082008F" w:rsidP="006E2255">
      <w:pPr>
        <w:rPr>
          <w:rFonts w:ascii="Calibri" w:eastAsia="MS Mincho" w:hAnsi="Calibri" w:cs="Calibri"/>
          <w:b/>
          <w:bCs/>
        </w:rPr>
      </w:pPr>
      <w:r w:rsidRPr="00372C6B">
        <w:rPr>
          <w:rFonts w:ascii="Calibri" w:eastAsia="MS Mincho" w:hAnsi="Calibri" w:cs="Calibri"/>
          <w:b/>
          <w:bCs/>
        </w:rPr>
        <w:t>Table A. Mapping of Proposed Changes to Affected NERC Standards</w:t>
      </w:r>
    </w:p>
    <w:p w14:paraId="6F0C49AC" w14:textId="28D55D7F" w:rsidR="00C46660" w:rsidRPr="00372C6B" w:rsidRDefault="00C46660" w:rsidP="006E2255">
      <w:pPr>
        <w:rPr>
          <w:rFonts w:ascii="Calibri" w:hAnsi="Calibri" w:cs="Calibri"/>
        </w:rPr>
      </w:pPr>
      <w:r w:rsidRPr="00372C6B">
        <w:rPr>
          <w:rFonts w:ascii="Calibri" w:hAnsi="Calibri" w:cs="Calibri"/>
          <w:b/>
          <w:bCs/>
        </w:rPr>
        <w:t>Note:</w:t>
      </w:r>
      <w:r w:rsidRPr="00372C6B">
        <w:rPr>
          <w:rFonts w:ascii="Calibri" w:hAnsi="Calibri" w:cs="Calibri"/>
        </w:rPr>
        <w:t xml:space="preserve"> The exact placement of requirements will depend on the Standards Drafting Team (SDT). The table below shows logical homes for the changes</w:t>
      </w:r>
      <w:r w:rsidR="00DC72D0" w:rsidRPr="00372C6B">
        <w:rPr>
          <w:rFonts w:ascii="Calibri" w:hAnsi="Calibri" w:cs="Calibri"/>
        </w:rPr>
        <w:t xml:space="preserve"> </w:t>
      </w:r>
      <w:r w:rsidRPr="00372C6B">
        <w:rPr>
          <w:rFonts w:ascii="Calibri" w:hAnsi="Calibri" w:cs="Calibri"/>
        </w:rPr>
        <w:t xml:space="preserve">and </w:t>
      </w:r>
      <w:r w:rsidR="00DC72D0" w:rsidRPr="00372C6B">
        <w:rPr>
          <w:rFonts w:ascii="Calibri" w:hAnsi="Calibri" w:cs="Calibri"/>
        </w:rPr>
        <w:t>rationale for placement</w:t>
      </w:r>
      <w:r w:rsidRPr="00372C6B">
        <w:rPr>
          <w:rFonts w:ascii="Calibri" w:hAnsi="Calibri" w:cs="Calibri"/>
        </w:rPr>
        <w:t>.</w:t>
      </w:r>
    </w:p>
    <w:tbl>
      <w:tblPr>
        <w:tblStyle w:val="TableGrid"/>
        <w:tblW w:w="10165" w:type="dxa"/>
        <w:tblLayout w:type="fixed"/>
        <w:tblLook w:val="04A0" w:firstRow="1" w:lastRow="0" w:firstColumn="1" w:lastColumn="0" w:noHBand="0" w:noVBand="1"/>
      </w:tblPr>
      <w:tblGrid>
        <w:gridCol w:w="2155"/>
        <w:gridCol w:w="3510"/>
        <w:gridCol w:w="4500"/>
      </w:tblGrid>
      <w:tr w:rsidR="00DC72D0" w:rsidRPr="00372C6B" w14:paraId="1F96040E" w14:textId="77777777" w:rsidTr="17023BA6">
        <w:tc>
          <w:tcPr>
            <w:tcW w:w="2155" w:type="dxa"/>
          </w:tcPr>
          <w:p w14:paraId="26949256" w14:textId="0C95D9C9" w:rsidR="00DC72D0" w:rsidRPr="00372C6B" w:rsidRDefault="00DC72D0" w:rsidP="006E2255">
            <w:pPr>
              <w:rPr>
                <w:rFonts w:ascii="Calibri" w:eastAsia="MS Mincho" w:hAnsi="Calibri" w:cs="Calibri"/>
                <w:b/>
                <w:bCs/>
              </w:rPr>
            </w:pPr>
            <w:r w:rsidRPr="00372C6B">
              <w:rPr>
                <w:rFonts w:ascii="Calibri" w:eastAsia="MS Mincho" w:hAnsi="Calibri" w:cs="Calibri"/>
                <w:b/>
                <w:bCs/>
              </w:rPr>
              <w:t>Proposed Change</w:t>
            </w:r>
            <w:r w:rsidR="00FD28EF" w:rsidRPr="00372C6B">
              <w:rPr>
                <w:rFonts w:ascii="Calibri" w:eastAsia="MS Mincho" w:hAnsi="Calibri" w:cs="Calibri"/>
                <w:b/>
                <w:bCs/>
              </w:rPr>
              <w:t>s</w:t>
            </w:r>
          </w:p>
        </w:tc>
        <w:tc>
          <w:tcPr>
            <w:tcW w:w="3510" w:type="dxa"/>
          </w:tcPr>
          <w:p w14:paraId="2CBEB985" w14:textId="5F00EFFC" w:rsidR="00DC72D0" w:rsidRPr="00372C6B" w:rsidRDefault="00DC72D0" w:rsidP="006E2255">
            <w:pPr>
              <w:rPr>
                <w:rFonts w:ascii="Calibri" w:eastAsia="MS Mincho" w:hAnsi="Calibri" w:cs="Calibri"/>
                <w:b/>
                <w:bCs/>
              </w:rPr>
            </w:pPr>
            <w:r w:rsidRPr="00372C6B">
              <w:rPr>
                <w:rFonts w:ascii="Calibri" w:hAnsi="Calibri" w:cs="Calibri"/>
                <w:b/>
                <w:bCs/>
              </w:rPr>
              <w:t>Primary Standards to Modify / Reference</w:t>
            </w:r>
          </w:p>
        </w:tc>
        <w:tc>
          <w:tcPr>
            <w:tcW w:w="4500" w:type="dxa"/>
          </w:tcPr>
          <w:p w14:paraId="2BDFF9B6" w14:textId="631AE248" w:rsidR="00DC72D0" w:rsidRPr="00372C6B" w:rsidRDefault="00DC72D0" w:rsidP="006E2255">
            <w:pPr>
              <w:rPr>
                <w:rFonts w:ascii="Calibri" w:eastAsia="MS Mincho" w:hAnsi="Calibri" w:cs="Calibri"/>
                <w:b/>
                <w:bCs/>
              </w:rPr>
            </w:pPr>
            <w:r w:rsidRPr="00372C6B">
              <w:rPr>
                <w:rFonts w:ascii="Calibri" w:eastAsia="MS Mincho" w:hAnsi="Calibri" w:cs="Calibri"/>
                <w:b/>
                <w:bCs/>
              </w:rPr>
              <w:t xml:space="preserve">Why </w:t>
            </w:r>
            <w:r w:rsidR="006E03D7" w:rsidRPr="00372C6B">
              <w:rPr>
                <w:rFonts w:ascii="Calibri" w:eastAsia="MS Mincho" w:hAnsi="Calibri" w:cs="Calibri"/>
                <w:b/>
                <w:bCs/>
              </w:rPr>
              <w:t>These</w:t>
            </w:r>
            <w:r w:rsidRPr="00372C6B">
              <w:rPr>
                <w:rFonts w:ascii="Calibri" w:eastAsia="MS Mincho" w:hAnsi="Calibri" w:cs="Calibri"/>
                <w:b/>
                <w:bCs/>
              </w:rPr>
              <w:t xml:space="preserve"> Standard</w:t>
            </w:r>
            <w:r w:rsidR="006E03D7" w:rsidRPr="00372C6B">
              <w:rPr>
                <w:rFonts w:ascii="Calibri" w:eastAsia="MS Mincho" w:hAnsi="Calibri" w:cs="Calibri"/>
                <w:b/>
                <w:bCs/>
              </w:rPr>
              <w:t>(s)</w:t>
            </w:r>
          </w:p>
        </w:tc>
      </w:tr>
      <w:tr w:rsidR="00DC72D0" w:rsidRPr="00372C6B" w14:paraId="5ED27926" w14:textId="77777777" w:rsidTr="17023BA6">
        <w:tc>
          <w:tcPr>
            <w:tcW w:w="2155" w:type="dxa"/>
          </w:tcPr>
          <w:p w14:paraId="59266187" w14:textId="1940AC1C" w:rsidR="00DC72D0" w:rsidRPr="00372C6B" w:rsidRDefault="001825CD" w:rsidP="006E2255">
            <w:pPr>
              <w:rPr>
                <w:rFonts w:ascii="Calibri" w:eastAsia="MS Mincho" w:hAnsi="Calibri" w:cs="Calibri"/>
              </w:rPr>
            </w:pPr>
            <w:r w:rsidRPr="00372C6B">
              <w:rPr>
                <w:rFonts w:ascii="Calibri" w:eastAsia="MS Mincho" w:hAnsi="Calibri" w:cs="Calibri"/>
              </w:rPr>
              <w:lastRenderedPageBreak/>
              <w:t xml:space="preserve">(1) </w:t>
            </w:r>
            <w:r w:rsidR="00DC72D0" w:rsidRPr="00372C6B">
              <w:rPr>
                <w:rFonts w:ascii="Calibri" w:eastAsia="MS Mincho" w:hAnsi="Calibri" w:cs="Calibri"/>
              </w:rPr>
              <w:t>Mandate real-time stability monitoring (voltage/angle stability, oscillation damping, angular separation)</w:t>
            </w:r>
          </w:p>
        </w:tc>
        <w:tc>
          <w:tcPr>
            <w:tcW w:w="3510" w:type="dxa"/>
          </w:tcPr>
          <w:p w14:paraId="30786D15" w14:textId="675A469A" w:rsidR="00DC72D0" w:rsidRPr="00372C6B" w:rsidRDefault="00DC72D0" w:rsidP="006E2255">
            <w:pPr>
              <w:rPr>
                <w:rFonts w:ascii="Calibri" w:eastAsia="MS Mincho" w:hAnsi="Calibri" w:cs="Calibri"/>
              </w:rPr>
            </w:pPr>
            <w:r w:rsidRPr="00372C6B">
              <w:rPr>
                <w:rFonts w:ascii="Calibri" w:hAnsi="Calibri" w:cs="Calibri"/>
                <w:b/>
                <w:bCs/>
              </w:rPr>
              <w:t>IRO</w:t>
            </w:r>
            <w:r w:rsidRPr="00372C6B">
              <w:rPr>
                <w:rFonts w:ascii="Calibri" w:hAnsi="Calibri" w:cs="Calibri"/>
                <w:b/>
                <w:bCs/>
              </w:rPr>
              <w:noBreakHyphen/>
              <w:t>002</w:t>
            </w:r>
            <w:r w:rsidRPr="00372C6B">
              <w:rPr>
                <w:rFonts w:ascii="Calibri" w:hAnsi="Calibri" w:cs="Calibri"/>
              </w:rPr>
              <w:t xml:space="preserve"> (RC monitoring &amp; analysis), </w:t>
            </w:r>
            <w:r w:rsidRPr="00372C6B">
              <w:rPr>
                <w:rFonts w:ascii="Calibri" w:hAnsi="Calibri" w:cs="Calibri"/>
                <w:b/>
                <w:bCs/>
              </w:rPr>
              <w:t>TOP</w:t>
            </w:r>
            <w:r w:rsidRPr="00372C6B">
              <w:rPr>
                <w:rFonts w:ascii="Calibri" w:hAnsi="Calibri" w:cs="Calibri"/>
                <w:b/>
                <w:bCs/>
              </w:rPr>
              <w:noBreakHyphen/>
              <w:t>001</w:t>
            </w:r>
            <w:r w:rsidRPr="00372C6B">
              <w:rPr>
                <w:rFonts w:ascii="Calibri" w:hAnsi="Calibri" w:cs="Calibri"/>
              </w:rPr>
              <w:t xml:space="preserve"> (TOP responsibilities)</w:t>
            </w:r>
          </w:p>
        </w:tc>
        <w:tc>
          <w:tcPr>
            <w:tcW w:w="4500" w:type="dxa"/>
          </w:tcPr>
          <w:p w14:paraId="7DF49896" w14:textId="4807FEF8" w:rsidR="00DC72D0" w:rsidRPr="00372C6B" w:rsidRDefault="00DC72D0" w:rsidP="00DC72D0">
            <w:pPr>
              <w:rPr>
                <w:rFonts w:ascii="Calibri" w:eastAsia="MS Mincho" w:hAnsi="Calibri" w:cs="Calibri"/>
              </w:rPr>
            </w:pPr>
            <w:r w:rsidRPr="00372C6B">
              <w:rPr>
                <w:rFonts w:ascii="Calibri" w:eastAsia="MS Mincho" w:hAnsi="Calibri" w:cs="Calibri"/>
              </w:rPr>
              <w:t xml:space="preserve">These standards already support </w:t>
            </w:r>
            <w:r w:rsidR="7EEB6585" w:rsidRPr="00372C6B">
              <w:rPr>
                <w:rFonts w:ascii="Calibri" w:eastAsia="MS Mincho" w:hAnsi="Calibri" w:cs="Calibri"/>
              </w:rPr>
              <w:t>real-time</w:t>
            </w:r>
            <w:r w:rsidRPr="00372C6B">
              <w:rPr>
                <w:rFonts w:ascii="Calibri" w:eastAsia="MS Mincho" w:hAnsi="Calibri" w:cs="Calibri"/>
              </w:rPr>
              <w:t xml:space="preserve"> awareness and </w:t>
            </w:r>
            <w:r w:rsidR="7BAC44B5" w:rsidRPr="00372C6B">
              <w:rPr>
                <w:rFonts w:ascii="Calibri" w:eastAsia="MS Mincho" w:hAnsi="Calibri" w:cs="Calibri"/>
              </w:rPr>
              <w:t>decision making</w:t>
            </w:r>
            <w:r w:rsidRPr="00372C6B">
              <w:rPr>
                <w:rFonts w:ascii="Calibri" w:eastAsia="MS Mincho" w:hAnsi="Calibri" w:cs="Calibri"/>
              </w:rPr>
              <w:t xml:space="preserve"> for RCs and TOPs, and adding stability checks simply broadens them to cover dynamic system behavior.</w:t>
            </w:r>
          </w:p>
          <w:p w14:paraId="16FD8DD5" w14:textId="77777777" w:rsidR="00DC72D0" w:rsidRPr="00372C6B" w:rsidRDefault="00DC72D0" w:rsidP="006E2255">
            <w:pPr>
              <w:rPr>
                <w:rFonts w:ascii="Calibri" w:eastAsia="MS Mincho" w:hAnsi="Calibri" w:cs="Calibri"/>
              </w:rPr>
            </w:pPr>
          </w:p>
        </w:tc>
      </w:tr>
      <w:tr w:rsidR="00DC72D0" w:rsidRPr="00372C6B" w14:paraId="35B59BC3" w14:textId="77777777" w:rsidTr="17023BA6">
        <w:tc>
          <w:tcPr>
            <w:tcW w:w="2155" w:type="dxa"/>
          </w:tcPr>
          <w:p w14:paraId="4B7E9A45" w14:textId="5792E777" w:rsidR="00DC72D0" w:rsidRPr="00372C6B" w:rsidRDefault="001825CD" w:rsidP="006E2255">
            <w:pPr>
              <w:rPr>
                <w:rFonts w:ascii="Calibri" w:eastAsia="MS Mincho" w:hAnsi="Calibri" w:cs="Calibri"/>
              </w:rPr>
            </w:pPr>
            <w:r w:rsidRPr="00372C6B">
              <w:rPr>
                <w:rFonts w:ascii="Calibri" w:eastAsia="MS Mincho" w:hAnsi="Calibri" w:cs="Calibri"/>
              </w:rPr>
              <w:t xml:space="preserve">(2) </w:t>
            </w:r>
            <w:r w:rsidR="00DC72D0" w:rsidRPr="00372C6B">
              <w:rPr>
                <w:rFonts w:ascii="Calibri" w:eastAsia="MS Mincho" w:hAnsi="Calibri" w:cs="Calibri"/>
              </w:rPr>
              <w:t>Update “Real Time Assessment (RTA)” definition to include stability</w:t>
            </w:r>
          </w:p>
        </w:tc>
        <w:tc>
          <w:tcPr>
            <w:tcW w:w="3510" w:type="dxa"/>
          </w:tcPr>
          <w:p w14:paraId="52F11F62" w14:textId="68824E4C" w:rsidR="00DC72D0" w:rsidRPr="00372C6B" w:rsidRDefault="00DC72D0" w:rsidP="006E2255">
            <w:pPr>
              <w:rPr>
                <w:rFonts w:ascii="Calibri" w:eastAsia="MS Mincho" w:hAnsi="Calibri" w:cs="Calibri"/>
              </w:rPr>
            </w:pPr>
            <w:r w:rsidRPr="00372C6B">
              <w:rPr>
                <w:rFonts w:ascii="Calibri" w:hAnsi="Calibri" w:cs="Calibri"/>
                <w:b/>
                <w:bCs/>
              </w:rPr>
              <w:t>IRO</w:t>
            </w:r>
            <w:r w:rsidRPr="00372C6B">
              <w:rPr>
                <w:rFonts w:ascii="Calibri" w:hAnsi="Calibri" w:cs="Calibri"/>
                <w:b/>
                <w:bCs/>
              </w:rPr>
              <w:noBreakHyphen/>
              <w:t>010</w:t>
            </w:r>
            <w:r w:rsidRPr="00372C6B">
              <w:rPr>
                <w:rFonts w:ascii="Calibri" w:hAnsi="Calibri" w:cs="Calibri"/>
              </w:rPr>
              <w:t xml:space="preserve"> (data specification and collection), </w:t>
            </w:r>
            <w:r w:rsidRPr="00372C6B">
              <w:rPr>
                <w:rFonts w:ascii="Calibri" w:hAnsi="Calibri" w:cs="Calibri"/>
                <w:b/>
                <w:bCs/>
              </w:rPr>
              <w:t>TOP</w:t>
            </w:r>
            <w:r w:rsidRPr="00372C6B">
              <w:rPr>
                <w:rFonts w:ascii="Calibri" w:hAnsi="Calibri" w:cs="Calibri"/>
                <w:b/>
                <w:bCs/>
              </w:rPr>
              <w:noBreakHyphen/>
              <w:t>003</w:t>
            </w:r>
            <w:r w:rsidRPr="00372C6B">
              <w:rPr>
                <w:rFonts w:ascii="Calibri" w:hAnsi="Calibri" w:cs="Calibri"/>
              </w:rPr>
              <w:t xml:space="preserve"> (operational data requirements), </w:t>
            </w:r>
            <w:r w:rsidRPr="00372C6B">
              <w:rPr>
                <w:rFonts w:ascii="Calibri" w:hAnsi="Calibri" w:cs="Calibri"/>
                <w:b/>
                <w:bCs/>
              </w:rPr>
              <w:t>Glossary</w:t>
            </w:r>
          </w:p>
        </w:tc>
        <w:tc>
          <w:tcPr>
            <w:tcW w:w="4500" w:type="dxa"/>
          </w:tcPr>
          <w:p w14:paraId="074DD609" w14:textId="4B301BD7" w:rsidR="00DC72D0" w:rsidRPr="00372C6B" w:rsidRDefault="00B83DD1" w:rsidP="006E2255">
            <w:pPr>
              <w:rPr>
                <w:rFonts w:ascii="Calibri" w:eastAsia="MS Mincho" w:hAnsi="Calibri" w:cs="Calibri"/>
              </w:rPr>
            </w:pPr>
            <w:r w:rsidRPr="00372C6B">
              <w:rPr>
                <w:rFonts w:ascii="Calibri" w:eastAsia="MS Mincho" w:hAnsi="Calibri" w:cs="Calibri"/>
              </w:rPr>
              <w:t>RTAs today emphasize topology/thermal constraints; updating the Glossary definition and companion requirements ensures stability is in scope for RTA deliverables and supporting data.</w:t>
            </w:r>
          </w:p>
        </w:tc>
      </w:tr>
      <w:tr w:rsidR="00DC72D0" w:rsidRPr="00372C6B" w14:paraId="24FF7CB5" w14:textId="77777777" w:rsidTr="17023BA6">
        <w:tc>
          <w:tcPr>
            <w:tcW w:w="2155" w:type="dxa"/>
          </w:tcPr>
          <w:p w14:paraId="13255D30" w14:textId="0C1E3581" w:rsidR="00DC72D0" w:rsidRPr="00372C6B" w:rsidRDefault="001825CD" w:rsidP="006E2255">
            <w:pPr>
              <w:rPr>
                <w:rFonts w:ascii="Calibri" w:eastAsia="MS Mincho" w:hAnsi="Calibri" w:cs="Calibri"/>
              </w:rPr>
            </w:pPr>
            <w:r w:rsidRPr="00372C6B">
              <w:rPr>
                <w:rFonts w:ascii="Calibri" w:eastAsia="MS Mincho" w:hAnsi="Calibri" w:cs="Calibri"/>
              </w:rPr>
              <w:t xml:space="preserve">(3) </w:t>
            </w:r>
            <w:r w:rsidR="00DC72D0" w:rsidRPr="00372C6B">
              <w:rPr>
                <w:rFonts w:ascii="Calibri" w:eastAsia="MS Mincho" w:hAnsi="Calibri" w:cs="Calibri"/>
              </w:rPr>
              <w:t>Require pre-contingent (real-time) and post-contingent (lookahead) stability analyses</w:t>
            </w:r>
          </w:p>
        </w:tc>
        <w:tc>
          <w:tcPr>
            <w:tcW w:w="3510" w:type="dxa"/>
          </w:tcPr>
          <w:p w14:paraId="1B74A9A5" w14:textId="7B850F49" w:rsidR="00DC72D0" w:rsidRPr="00372C6B" w:rsidRDefault="00DC72D0" w:rsidP="006E2255">
            <w:pPr>
              <w:rPr>
                <w:rFonts w:ascii="Calibri" w:eastAsia="MS Mincho" w:hAnsi="Calibri" w:cs="Calibri"/>
              </w:rPr>
            </w:pPr>
            <w:r w:rsidRPr="00372C6B">
              <w:rPr>
                <w:rFonts w:ascii="Calibri" w:hAnsi="Calibri" w:cs="Calibri"/>
                <w:b/>
                <w:bCs/>
              </w:rPr>
              <w:t>IRO</w:t>
            </w:r>
            <w:r w:rsidRPr="00372C6B">
              <w:rPr>
                <w:rFonts w:ascii="Calibri" w:hAnsi="Calibri" w:cs="Calibri"/>
                <w:b/>
                <w:bCs/>
              </w:rPr>
              <w:noBreakHyphen/>
              <w:t>008/IRO</w:t>
            </w:r>
            <w:r w:rsidRPr="00372C6B">
              <w:rPr>
                <w:rFonts w:ascii="Calibri" w:hAnsi="Calibri" w:cs="Calibri"/>
                <w:b/>
                <w:bCs/>
              </w:rPr>
              <w:noBreakHyphen/>
              <w:t>009</w:t>
            </w:r>
            <w:r w:rsidRPr="00372C6B">
              <w:rPr>
                <w:rFonts w:ascii="Calibri" w:hAnsi="Calibri" w:cs="Calibri"/>
              </w:rPr>
              <w:t xml:space="preserve"> (RC operational analyses and corrective action), </w:t>
            </w:r>
            <w:r w:rsidRPr="00372C6B">
              <w:rPr>
                <w:rFonts w:ascii="Calibri" w:hAnsi="Calibri" w:cs="Calibri"/>
                <w:b/>
                <w:bCs/>
              </w:rPr>
              <w:t>TOP</w:t>
            </w:r>
            <w:r w:rsidRPr="00372C6B">
              <w:rPr>
                <w:rFonts w:ascii="Calibri" w:hAnsi="Calibri" w:cs="Calibri"/>
                <w:b/>
                <w:bCs/>
              </w:rPr>
              <w:noBreakHyphen/>
              <w:t>001</w:t>
            </w:r>
            <w:r w:rsidRPr="00372C6B">
              <w:rPr>
                <w:rFonts w:ascii="Calibri" w:hAnsi="Calibri" w:cs="Calibri"/>
              </w:rPr>
              <w:t xml:space="preserve"> (operations), </w:t>
            </w:r>
            <w:r w:rsidRPr="00372C6B">
              <w:rPr>
                <w:rFonts w:ascii="Calibri" w:hAnsi="Calibri" w:cs="Calibri"/>
                <w:b/>
                <w:bCs/>
              </w:rPr>
              <w:t>TOP</w:t>
            </w:r>
            <w:r w:rsidRPr="00372C6B">
              <w:rPr>
                <w:rFonts w:ascii="Calibri" w:hAnsi="Calibri" w:cs="Calibri"/>
                <w:b/>
                <w:bCs/>
              </w:rPr>
              <w:noBreakHyphen/>
              <w:t>002</w:t>
            </w:r>
            <w:r w:rsidRPr="00372C6B">
              <w:rPr>
                <w:rFonts w:ascii="Calibri" w:hAnsi="Calibri" w:cs="Calibri"/>
              </w:rPr>
              <w:t xml:space="preserve"> (planning in operations horizon, if applicable)</w:t>
            </w:r>
          </w:p>
        </w:tc>
        <w:tc>
          <w:tcPr>
            <w:tcW w:w="4500" w:type="dxa"/>
          </w:tcPr>
          <w:p w14:paraId="659CE30D" w14:textId="37BBACDB" w:rsidR="00DC72D0" w:rsidRPr="00372C6B" w:rsidRDefault="00B83DD1" w:rsidP="006E2255">
            <w:pPr>
              <w:rPr>
                <w:rFonts w:ascii="Calibri" w:eastAsia="MS Mincho" w:hAnsi="Calibri" w:cs="Calibri"/>
              </w:rPr>
            </w:pPr>
            <w:r w:rsidRPr="00372C6B">
              <w:rPr>
                <w:rFonts w:ascii="Calibri" w:hAnsi="Calibri" w:cs="Calibri"/>
              </w:rPr>
              <w:t>These standards govern operational studies and corrective actions</w:t>
            </w:r>
            <w:r w:rsidR="00C05656" w:rsidRPr="00372C6B">
              <w:rPr>
                <w:rFonts w:ascii="Calibri" w:hAnsi="Calibri" w:cs="Calibri"/>
              </w:rPr>
              <w:t xml:space="preserve">. Adding </w:t>
            </w:r>
            <w:r w:rsidRPr="00372C6B">
              <w:rPr>
                <w:rFonts w:ascii="Calibri" w:hAnsi="Calibri" w:cs="Calibri"/>
              </w:rPr>
              <w:t>stability analysis ensures operators evaluate present and forecasted operating points for instability risk.</w:t>
            </w:r>
          </w:p>
        </w:tc>
      </w:tr>
      <w:tr w:rsidR="001825CD" w:rsidRPr="00372C6B" w14:paraId="2F14EC77" w14:textId="77777777" w:rsidTr="17023BA6">
        <w:tc>
          <w:tcPr>
            <w:tcW w:w="2155" w:type="dxa"/>
          </w:tcPr>
          <w:p w14:paraId="785FE8F8" w14:textId="5155CF34" w:rsidR="001825CD" w:rsidRPr="00372C6B" w:rsidRDefault="001825CD" w:rsidP="001825CD">
            <w:pPr>
              <w:rPr>
                <w:rFonts w:ascii="Calibri" w:eastAsia="MS Mincho" w:hAnsi="Calibri" w:cs="Calibri"/>
              </w:rPr>
            </w:pPr>
            <w:r w:rsidRPr="00372C6B">
              <w:rPr>
                <w:rFonts w:ascii="Calibri" w:eastAsia="MS Mincho" w:hAnsi="Calibri" w:cs="Calibri"/>
              </w:rPr>
              <w:t>(4) Establish stability-focused Operating Plans</w:t>
            </w:r>
          </w:p>
        </w:tc>
        <w:tc>
          <w:tcPr>
            <w:tcW w:w="3510" w:type="dxa"/>
          </w:tcPr>
          <w:p w14:paraId="12795B4C" w14:textId="62046D56" w:rsidR="001825CD" w:rsidRPr="00372C6B" w:rsidRDefault="001825CD" w:rsidP="001825CD">
            <w:pPr>
              <w:rPr>
                <w:rFonts w:ascii="Calibri" w:eastAsia="MS Mincho" w:hAnsi="Calibri" w:cs="Calibri"/>
              </w:rPr>
            </w:pPr>
            <w:r w:rsidRPr="00372C6B">
              <w:rPr>
                <w:rFonts w:ascii="Calibri" w:hAnsi="Calibri" w:cs="Calibri"/>
                <w:b/>
                <w:bCs/>
              </w:rPr>
              <w:t>TOP</w:t>
            </w:r>
            <w:r w:rsidRPr="00372C6B">
              <w:rPr>
                <w:rFonts w:ascii="Calibri" w:hAnsi="Calibri" w:cs="Calibri"/>
                <w:b/>
                <w:bCs/>
              </w:rPr>
              <w:noBreakHyphen/>
              <w:t>001</w:t>
            </w:r>
            <w:r w:rsidRPr="00372C6B">
              <w:rPr>
                <w:rFonts w:ascii="Calibri" w:hAnsi="Calibri" w:cs="Calibri"/>
              </w:rPr>
              <w:t xml:space="preserve"> (operating responsibilities), </w:t>
            </w:r>
            <w:r w:rsidRPr="00372C6B">
              <w:rPr>
                <w:rFonts w:ascii="Calibri" w:hAnsi="Calibri" w:cs="Calibri"/>
                <w:b/>
                <w:bCs/>
              </w:rPr>
              <w:t>IRO</w:t>
            </w:r>
            <w:r w:rsidRPr="00372C6B">
              <w:rPr>
                <w:rFonts w:ascii="Calibri" w:hAnsi="Calibri" w:cs="Calibri"/>
                <w:b/>
                <w:bCs/>
              </w:rPr>
              <w:noBreakHyphen/>
              <w:t>009</w:t>
            </w:r>
            <w:r w:rsidRPr="00372C6B">
              <w:rPr>
                <w:rFonts w:ascii="Calibri" w:hAnsi="Calibri" w:cs="Calibri"/>
              </w:rPr>
              <w:t xml:space="preserve"> (corrective action plans)</w:t>
            </w:r>
          </w:p>
        </w:tc>
        <w:tc>
          <w:tcPr>
            <w:tcW w:w="4500" w:type="dxa"/>
          </w:tcPr>
          <w:p w14:paraId="54B026FC" w14:textId="3E7C4FC1" w:rsidR="001825CD" w:rsidRPr="00372C6B" w:rsidRDefault="001825CD" w:rsidP="001825CD">
            <w:pPr>
              <w:rPr>
                <w:rFonts w:ascii="Calibri" w:eastAsia="MS Mincho" w:hAnsi="Calibri" w:cs="Calibri"/>
              </w:rPr>
            </w:pPr>
            <w:r w:rsidRPr="00372C6B">
              <w:rPr>
                <w:rFonts w:ascii="Calibri" w:hAnsi="Calibri" w:cs="Calibri"/>
              </w:rPr>
              <w:t>Operating Plans translate monitoring insights into actions</w:t>
            </w:r>
            <w:r w:rsidR="00EA0A6D" w:rsidRPr="00372C6B">
              <w:rPr>
                <w:rFonts w:ascii="Calibri" w:hAnsi="Calibri" w:cs="Calibri"/>
              </w:rPr>
              <w:t xml:space="preserve">. Standards </w:t>
            </w:r>
            <w:r w:rsidRPr="00372C6B">
              <w:rPr>
                <w:rFonts w:ascii="Calibri" w:hAnsi="Calibri" w:cs="Calibri"/>
              </w:rPr>
              <w:t>should require explicit procedures for oscillation events, angular separation growth, or voltage instability.</w:t>
            </w:r>
          </w:p>
        </w:tc>
      </w:tr>
      <w:tr w:rsidR="001825CD" w:rsidRPr="00372C6B" w14:paraId="54C3FD03" w14:textId="77777777" w:rsidTr="17023BA6">
        <w:tc>
          <w:tcPr>
            <w:tcW w:w="2155" w:type="dxa"/>
          </w:tcPr>
          <w:p w14:paraId="50C05916" w14:textId="568D096D" w:rsidR="001825CD" w:rsidRPr="00372C6B" w:rsidRDefault="001825CD" w:rsidP="001825CD">
            <w:pPr>
              <w:rPr>
                <w:rFonts w:ascii="Calibri" w:eastAsia="MS Mincho" w:hAnsi="Calibri" w:cs="Calibri"/>
              </w:rPr>
            </w:pPr>
            <w:r w:rsidRPr="00372C6B">
              <w:rPr>
                <w:rFonts w:ascii="Calibri" w:eastAsia="MS Mincho" w:hAnsi="Calibri" w:cs="Calibri"/>
              </w:rPr>
              <w:t>(5) Add stability triggered communications protocols</w:t>
            </w:r>
          </w:p>
        </w:tc>
        <w:tc>
          <w:tcPr>
            <w:tcW w:w="3510" w:type="dxa"/>
          </w:tcPr>
          <w:p w14:paraId="7E26823F" w14:textId="2A66DA64" w:rsidR="001825CD" w:rsidRPr="00372C6B" w:rsidRDefault="001825CD" w:rsidP="001825CD">
            <w:pPr>
              <w:rPr>
                <w:rFonts w:ascii="Calibri" w:eastAsia="MS Mincho" w:hAnsi="Calibri" w:cs="Calibri"/>
              </w:rPr>
            </w:pPr>
            <w:r w:rsidRPr="00372C6B">
              <w:rPr>
                <w:rFonts w:ascii="Calibri" w:hAnsi="Calibri" w:cs="Calibri"/>
                <w:b/>
                <w:bCs/>
              </w:rPr>
              <w:t>COM</w:t>
            </w:r>
            <w:r w:rsidRPr="00372C6B">
              <w:rPr>
                <w:rFonts w:ascii="Calibri" w:hAnsi="Calibri" w:cs="Calibri"/>
                <w:b/>
                <w:bCs/>
              </w:rPr>
              <w:noBreakHyphen/>
              <w:t>002</w:t>
            </w:r>
            <w:r w:rsidRPr="00372C6B">
              <w:rPr>
                <w:rFonts w:ascii="Calibri" w:hAnsi="Calibri" w:cs="Calibri"/>
              </w:rPr>
              <w:t xml:space="preserve"> (operating personnel communications), </w:t>
            </w:r>
            <w:r w:rsidRPr="00372C6B">
              <w:rPr>
                <w:rFonts w:ascii="Calibri" w:hAnsi="Calibri" w:cs="Calibri"/>
                <w:b/>
                <w:bCs/>
              </w:rPr>
              <w:t>IRO</w:t>
            </w:r>
            <w:r w:rsidRPr="00372C6B">
              <w:rPr>
                <w:rFonts w:ascii="Calibri" w:hAnsi="Calibri" w:cs="Calibri"/>
                <w:b/>
                <w:bCs/>
              </w:rPr>
              <w:noBreakHyphen/>
              <w:t>001/IRO</w:t>
            </w:r>
            <w:r w:rsidRPr="00372C6B">
              <w:rPr>
                <w:rFonts w:ascii="Calibri" w:hAnsi="Calibri" w:cs="Calibri"/>
                <w:b/>
                <w:bCs/>
              </w:rPr>
              <w:noBreakHyphen/>
              <w:t>002</w:t>
            </w:r>
            <w:r w:rsidRPr="00372C6B">
              <w:rPr>
                <w:rFonts w:ascii="Calibri" w:hAnsi="Calibri" w:cs="Calibri"/>
              </w:rPr>
              <w:t xml:space="preserve"> (RC responsibilities/monitoring)</w:t>
            </w:r>
          </w:p>
        </w:tc>
        <w:tc>
          <w:tcPr>
            <w:tcW w:w="4500" w:type="dxa"/>
          </w:tcPr>
          <w:p w14:paraId="265FA240" w14:textId="74E69803" w:rsidR="001825CD" w:rsidRPr="00372C6B" w:rsidRDefault="001825CD" w:rsidP="001825CD">
            <w:pPr>
              <w:rPr>
                <w:rFonts w:ascii="Calibri" w:eastAsia="MS Mincho" w:hAnsi="Calibri" w:cs="Calibri"/>
              </w:rPr>
            </w:pPr>
            <w:r w:rsidRPr="00372C6B">
              <w:rPr>
                <w:rFonts w:ascii="Calibri" w:hAnsi="Calibri" w:cs="Calibri"/>
              </w:rPr>
              <w:t>Communication expectations exist for SOL/IROL events</w:t>
            </w:r>
            <w:r w:rsidR="00EA0A6D" w:rsidRPr="00372C6B">
              <w:rPr>
                <w:rFonts w:ascii="Calibri" w:hAnsi="Calibri" w:cs="Calibri"/>
              </w:rPr>
              <w:t xml:space="preserve">. A </w:t>
            </w:r>
            <w:r w:rsidRPr="00372C6B">
              <w:rPr>
                <w:rFonts w:ascii="Calibri" w:hAnsi="Calibri" w:cs="Calibri"/>
              </w:rPr>
              <w:t>similar trigger framework is needed for stability conditions to ensure timely RC</w:t>
            </w:r>
            <w:r w:rsidRPr="00372C6B">
              <w:rPr>
                <w:rFonts w:ascii="Calibri" w:hAnsi="Calibri" w:cs="Calibri"/>
              </w:rPr>
              <w:noBreakHyphen/>
              <w:t>TOP</w:t>
            </w:r>
            <w:r w:rsidRPr="00372C6B">
              <w:rPr>
                <w:rFonts w:ascii="Calibri" w:hAnsi="Calibri" w:cs="Calibri"/>
              </w:rPr>
              <w:noBreakHyphen/>
              <w:t>BA coordination.</w:t>
            </w:r>
          </w:p>
        </w:tc>
      </w:tr>
      <w:tr w:rsidR="001825CD" w:rsidRPr="00372C6B" w14:paraId="33B0440A" w14:textId="77777777" w:rsidTr="17023BA6">
        <w:tc>
          <w:tcPr>
            <w:tcW w:w="2155" w:type="dxa"/>
          </w:tcPr>
          <w:p w14:paraId="551B2438" w14:textId="68650E4C" w:rsidR="001825CD" w:rsidRPr="00372C6B" w:rsidRDefault="001825CD" w:rsidP="001825CD">
            <w:pPr>
              <w:rPr>
                <w:rFonts w:ascii="Calibri" w:eastAsia="MS Mincho" w:hAnsi="Calibri" w:cs="Calibri"/>
              </w:rPr>
            </w:pPr>
            <w:r w:rsidRPr="00372C6B">
              <w:rPr>
                <w:rFonts w:ascii="Calibri" w:eastAsia="MS Mincho" w:hAnsi="Calibri" w:cs="Calibri"/>
              </w:rPr>
              <w:t>(6) Define minimum tool capabilities for real time stability</w:t>
            </w:r>
          </w:p>
        </w:tc>
        <w:tc>
          <w:tcPr>
            <w:tcW w:w="3510" w:type="dxa"/>
          </w:tcPr>
          <w:p w14:paraId="0D495602" w14:textId="570B47E1" w:rsidR="001825CD" w:rsidRPr="00372C6B" w:rsidRDefault="001825CD" w:rsidP="001825CD">
            <w:pPr>
              <w:rPr>
                <w:rFonts w:ascii="Calibri" w:eastAsia="MS Mincho" w:hAnsi="Calibri" w:cs="Calibri"/>
              </w:rPr>
            </w:pPr>
            <w:r w:rsidRPr="00372C6B">
              <w:rPr>
                <w:rFonts w:ascii="Calibri" w:hAnsi="Calibri" w:cs="Calibri"/>
                <w:b/>
                <w:bCs/>
              </w:rPr>
              <w:t xml:space="preserve">New Standard </w:t>
            </w:r>
            <w:r w:rsidRPr="00372C6B">
              <w:rPr>
                <w:rFonts w:ascii="Calibri" w:hAnsi="Calibri" w:cs="Calibri"/>
              </w:rPr>
              <w:t>with references back to IRO/TOP; leverage ongoing NERC projects tied to FERC Order 901</w:t>
            </w:r>
          </w:p>
        </w:tc>
        <w:tc>
          <w:tcPr>
            <w:tcW w:w="4500" w:type="dxa"/>
          </w:tcPr>
          <w:p w14:paraId="51754026" w14:textId="414D67B9" w:rsidR="001825CD" w:rsidRPr="00372C6B" w:rsidRDefault="001825CD" w:rsidP="001825CD">
            <w:pPr>
              <w:rPr>
                <w:rFonts w:ascii="Calibri" w:eastAsia="MS Mincho" w:hAnsi="Calibri" w:cs="Calibri"/>
              </w:rPr>
            </w:pPr>
            <w:r w:rsidRPr="00372C6B">
              <w:rPr>
                <w:rFonts w:ascii="Calibri" w:hAnsi="Calibri" w:cs="Calibri"/>
              </w:rPr>
              <w:t>A dedicated standard can unify tool capability, data quality, and performance criteria</w:t>
            </w:r>
            <w:r w:rsidR="00EA0A6D" w:rsidRPr="00372C6B">
              <w:rPr>
                <w:rFonts w:ascii="Calibri" w:hAnsi="Calibri" w:cs="Calibri"/>
              </w:rPr>
              <w:t xml:space="preserve">, </w:t>
            </w:r>
            <w:r w:rsidRPr="00372C6B">
              <w:rPr>
                <w:rFonts w:ascii="Calibri" w:hAnsi="Calibri" w:cs="Calibri"/>
              </w:rPr>
              <w:t>consistent with NERC’s broader program to address dynamic/IBR phenomena through new or revised standards.</w:t>
            </w:r>
          </w:p>
        </w:tc>
      </w:tr>
      <w:tr w:rsidR="00DC72D0" w:rsidRPr="00372C6B" w14:paraId="58C69820" w14:textId="77777777" w:rsidTr="17023BA6">
        <w:tc>
          <w:tcPr>
            <w:tcW w:w="2155" w:type="dxa"/>
          </w:tcPr>
          <w:p w14:paraId="2AFBE718" w14:textId="3BF58DE3" w:rsidR="00DC72D0" w:rsidRPr="00372C6B" w:rsidRDefault="001825CD" w:rsidP="006E2255">
            <w:pPr>
              <w:rPr>
                <w:rFonts w:ascii="Calibri" w:eastAsia="MS Mincho" w:hAnsi="Calibri" w:cs="Calibri"/>
              </w:rPr>
            </w:pPr>
            <w:r w:rsidRPr="00372C6B">
              <w:rPr>
                <w:rFonts w:ascii="Calibri" w:eastAsia="MS Mincho" w:hAnsi="Calibri" w:cs="Calibri"/>
              </w:rPr>
              <w:t xml:space="preserve">(7) </w:t>
            </w:r>
            <w:r w:rsidR="00DC72D0" w:rsidRPr="00372C6B">
              <w:rPr>
                <w:rFonts w:ascii="Calibri" w:eastAsia="MS Mincho" w:hAnsi="Calibri" w:cs="Calibri"/>
              </w:rPr>
              <w:t>Harmonize with stability performance criteria already referenced elsewhere</w:t>
            </w:r>
          </w:p>
        </w:tc>
        <w:tc>
          <w:tcPr>
            <w:tcW w:w="3510" w:type="dxa"/>
          </w:tcPr>
          <w:p w14:paraId="1CDD5013" w14:textId="31ACB2E0" w:rsidR="00DC72D0" w:rsidRPr="00372C6B" w:rsidRDefault="00DC72D0" w:rsidP="006E2255">
            <w:pPr>
              <w:rPr>
                <w:rFonts w:ascii="Calibri" w:eastAsia="MS Mincho" w:hAnsi="Calibri" w:cs="Calibri"/>
              </w:rPr>
            </w:pPr>
            <w:r w:rsidRPr="00372C6B">
              <w:rPr>
                <w:rFonts w:ascii="Calibri" w:hAnsi="Calibri" w:cs="Calibri"/>
                <w:b/>
                <w:bCs/>
              </w:rPr>
              <w:t>FAC</w:t>
            </w:r>
            <w:r w:rsidRPr="00372C6B">
              <w:rPr>
                <w:rFonts w:ascii="Calibri" w:hAnsi="Calibri" w:cs="Calibri"/>
                <w:b/>
                <w:bCs/>
              </w:rPr>
              <w:noBreakHyphen/>
              <w:t>011</w:t>
            </w:r>
            <w:r w:rsidRPr="00372C6B">
              <w:rPr>
                <w:rFonts w:ascii="Calibri" w:hAnsi="Calibri" w:cs="Calibri"/>
                <w:b/>
                <w:bCs/>
              </w:rPr>
              <w:noBreakHyphen/>
              <w:t>4</w:t>
            </w:r>
            <w:r w:rsidRPr="00372C6B">
              <w:rPr>
                <w:rFonts w:ascii="Calibri" w:hAnsi="Calibri" w:cs="Calibri"/>
              </w:rPr>
              <w:t xml:space="preserve"> (methodology criteria) as a reference within IRO/TOP requirements</w:t>
            </w:r>
          </w:p>
        </w:tc>
        <w:tc>
          <w:tcPr>
            <w:tcW w:w="4500" w:type="dxa"/>
          </w:tcPr>
          <w:p w14:paraId="71559FE6" w14:textId="736B0FB0" w:rsidR="00DC72D0" w:rsidRPr="00372C6B" w:rsidRDefault="242B7408" w:rsidP="006E2255">
            <w:pPr>
              <w:rPr>
                <w:rFonts w:ascii="Calibri" w:eastAsia="MS Mincho" w:hAnsi="Calibri" w:cs="Calibri"/>
              </w:rPr>
            </w:pPr>
            <w:r w:rsidRPr="00372C6B">
              <w:rPr>
                <w:rFonts w:ascii="Calibri" w:hAnsi="Calibri" w:cs="Calibri"/>
              </w:rPr>
              <w:t>FAC0114’s stability performance criteria (</w:t>
            </w:r>
            <w:r w:rsidR="71EE0B87" w:rsidRPr="00372C6B">
              <w:rPr>
                <w:rFonts w:ascii="Calibri" w:hAnsi="Calibri" w:cs="Calibri"/>
              </w:rPr>
              <w:t>steady state</w:t>
            </w:r>
            <w:r w:rsidRPr="00372C6B">
              <w:rPr>
                <w:rFonts w:ascii="Calibri" w:hAnsi="Calibri" w:cs="Calibri"/>
              </w:rPr>
              <w:t xml:space="preserve"> voltage stability, transient voltage response, angular stability, system damping) can inform thresholds and metrics for operations standards.</w:t>
            </w:r>
          </w:p>
        </w:tc>
      </w:tr>
      <w:tr w:rsidR="00DC72D0" w:rsidRPr="00372C6B" w14:paraId="4D420E18" w14:textId="77777777" w:rsidTr="17023BA6">
        <w:tc>
          <w:tcPr>
            <w:tcW w:w="2155" w:type="dxa"/>
          </w:tcPr>
          <w:p w14:paraId="466EEB2C" w14:textId="3F58D6E3" w:rsidR="00DC72D0" w:rsidRPr="00372C6B" w:rsidRDefault="001825CD" w:rsidP="006E2255">
            <w:pPr>
              <w:rPr>
                <w:rFonts w:ascii="Calibri" w:eastAsia="MS Mincho" w:hAnsi="Calibri" w:cs="Calibri"/>
              </w:rPr>
            </w:pPr>
            <w:r w:rsidRPr="00372C6B">
              <w:rPr>
                <w:rFonts w:ascii="Calibri" w:eastAsia="MS Mincho" w:hAnsi="Calibri" w:cs="Calibri"/>
              </w:rPr>
              <w:t xml:space="preserve">(8) </w:t>
            </w:r>
            <w:r w:rsidR="00DC72D0" w:rsidRPr="00372C6B">
              <w:rPr>
                <w:rFonts w:ascii="Calibri" w:eastAsia="MS Mincho" w:hAnsi="Calibri" w:cs="Calibri"/>
              </w:rPr>
              <w:t xml:space="preserve">Benchmark against international practices and </w:t>
            </w:r>
            <w:r w:rsidR="00DC72D0" w:rsidRPr="00372C6B">
              <w:rPr>
                <w:rFonts w:ascii="Calibri" w:eastAsia="MS Mincho" w:hAnsi="Calibri" w:cs="Calibri"/>
              </w:rPr>
              <w:lastRenderedPageBreak/>
              <w:t>incorporate lessons learned</w:t>
            </w:r>
          </w:p>
        </w:tc>
        <w:tc>
          <w:tcPr>
            <w:tcW w:w="3510" w:type="dxa"/>
          </w:tcPr>
          <w:p w14:paraId="2840D9D1" w14:textId="5B47F026" w:rsidR="00DC72D0" w:rsidRPr="00372C6B" w:rsidRDefault="00DC72D0" w:rsidP="006E2255">
            <w:pPr>
              <w:rPr>
                <w:rFonts w:ascii="Calibri" w:eastAsia="MS Mincho" w:hAnsi="Calibri" w:cs="Calibri"/>
              </w:rPr>
            </w:pPr>
            <w:r w:rsidRPr="00372C6B">
              <w:rPr>
                <w:rFonts w:ascii="Calibri" w:hAnsi="Calibri" w:cs="Calibri"/>
                <w:b/>
                <w:bCs/>
              </w:rPr>
              <w:lastRenderedPageBreak/>
              <w:t>Informative references</w:t>
            </w:r>
            <w:r w:rsidRPr="00372C6B">
              <w:rPr>
                <w:rFonts w:ascii="Calibri" w:hAnsi="Calibri" w:cs="Calibri"/>
              </w:rPr>
              <w:t xml:space="preserve"> in a new or revised standard; no compliance obligation unless formally written in the standard</w:t>
            </w:r>
          </w:p>
        </w:tc>
        <w:tc>
          <w:tcPr>
            <w:tcW w:w="4500" w:type="dxa"/>
          </w:tcPr>
          <w:p w14:paraId="5AF0F0CE" w14:textId="0C75966B" w:rsidR="00DC72D0" w:rsidRPr="00372C6B" w:rsidRDefault="242B7408" w:rsidP="006E2255">
            <w:pPr>
              <w:rPr>
                <w:rFonts w:ascii="Calibri" w:eastAsia="MS Mincho" w:hAnsi="Calibri" w:cs="Calibri"/>
              </w:rPr>
            </w:pPr>
            <w:r w:rsidRPr="00372C6B">
              <w:rPr>
                <w:rFonts w:ascii="Calibri" w:hAnsi="Calibri" w:cs="Calibri"/>
              </w:rPr>
              <w:t xml:space="preserve">NASPI recommends reviewing global requirements to inform NERC expectations for </w:t>
            </w:r>
            <w:r w:rsidR="2DFFC0F8" w:rsidRPr="00372C6B">
              <w:rPr>
                <w:rFonts w:ascii="Calibri" w:hAnsi="Calibri" w:cs="Calibri"/>
              </w:rPr>
              <w:t>real-time</w:t>
            </w:r>
            <w:r w:rsidRPr="00372C6B">
              <w:rPr>
                <w:rFonts w:ascii="Calibri" w:hAnsi="Calibri" w:cs="Calibri"/>
              </w:rPr>
              <w:t xml:space="preserve"> stability monitoring and response playbooks.</w:t>
            </w:r>
          </w:p>
        </w:tc>
      </w:tr>
    </w:tbl>
    <w:p w14:paraId="6D330573" w14:textId="77777777" w:rsidR="0082008F" w:rsidRPr="00372C6B" w:rsidRDefault="0082008F" w:rsidP="006E2255">
      <w:pPr>
        <w:rPr>
          <w:rFonts w:ascii="Calibri" w:eastAsia="MS Mincho" w:hAnsi="Calibri" w:cs="Calibri"/>
        </w:rPr>
      </w:pPr>
    </w:p>
    <w:p w14:paraId="40E332C2" w14:textId="167E7D74" w:rsidR="00360F77" w:rsidRPr="00372C6B" w:rsidRDefault="00B7571E" w:rsidP="006E2255">
      <w:pPr>
        <w:rPr>
          <w:rFonts w:ascii="Calibri" w:eastAsia="MS Mincho" w:hAnsi="Calibri" w:cs="Calibri"/>
          <w:b/>
          <w:bCs/>
        </w:rPr>
      </w:pPr>
      <w:r w:rsidRPr="00372C6B">
        <w:rPr>
          <w:rFonts w:ascii="Calibri" w:eastAsia="MS Mincho" w:hAnsi="Calibri" w:cs="Calibri"/>
          <w:b/>
          <w:bCs/>
        </w:rPr>
        <w:t>What These Proposed Changes Aim to Achieve</w:t>
      </w:r>
    </w:p>
    <w:p w14:paraId="2B7A2F4D" w14:textId="01DEB35E" w:rsidR="00B7571E" w:rsidRPr="00372C6B" w:rsidRDefault="000D556E" w:rsidP="006E2255">
      <w:pPr>
        <w:rPr>
          <w:rFonts w:ascii="Calibri" w:eastAsia="MS Mincho" w:hAnsi="Calibri" w:cs="Calibri"/>
        </w:rPr>
      </w:pPr>
      <w:r w:rsidRPr="00372C6B">
        <w:rPr>
          <w:rFonts w:ascii="Calibri" w:eastAsia="MS Mincho" w:hAnsi="Calibri" w:cs="Calibri"/>
        </w:rPr>
        <w:t>Collectively, the proposed changes would:</w:t>
      </w:r>
    </w:p>
    <w:p w14:paraId="1878FA9F" w14:textId="6315ED7B" w:rsidR="00AB00D8" w:rsidRPr="00372C6B" w:rsidRDefault="00AB00D8">
      <w:pPr>
        <w:numPr>
          <w:ilvl w:val="0"/>
          <w:numId w:val="12"/>
        </w:numPr>
        <w:rPr>
          <w:rFonts w:ascii="Calibri" w:hAnsi="Calibri" w:cs="Calibri"/>
        </w:rPr>
      </w:pPr>
      <w:r w:rsidRPr="00372C6B">
        <w:rPr>
          <w:rFonts w:ascii="Calibri" w:hAnsi="Calibri" w:cs="Calibri"/>
        </w:rPr>
        <w:t xml:space="preserve">Make </w:t>
      </w:r>
      <w:r w:rsidR="512D33CA" w:rsidRPr="00372C6B">
        <w:rPr>
          <w:rFonts w:ascii="Calibri" w:hAnsi="Calibri" w:cs="Calibri"/>
        </w:rPr>
        <w:t>real-time</w:t>
      </w:r>
      <w:r w:rsidRPr="00372C6B">
        <w:rPr>
          <w:rFonts w:ascii="Calibri" w:hAnsi="Calibri" w:cs="Calibri"/>
        </w:rPr>
        <w:t xml:space="preserve"> and lookahead stability assessment mandatory for RCs and TOPs.</w:t>
      </w:r>
    </w:p>
    <w:p w14:paraId="4F2CB4A3" w14:textId="3FE2009C" w:rsidR="0007679A" w:rsidRPr="00372C6B" w:rsidRDefault="0007679A">
      <w:pPr>
        <w:numPr>
          <w:ilvl w:val="0"/>
          <w:numId w:val="12"/>
        </w:numPr>
        <w:rPr>
          <w:rFonts w:ascii="Calibri" w:hAnsi="Calibri" w:cs="Calibri"/>
        </w:rPr>
      </w:pPr>
      <w:r w:rsidRPr="00372C6B">
        <w:rPr>
          <w:rFonts w:ascii="Calibri" w:hAnsi="Calibri" w:cs="Calibri"/>
        </w:rPr>
        <w:t xml:space="preserve">Ensure stability criteria are embedded within </w:t>
      </w:r>
      <w:r w:rsidR="00317874" w:rsidRPr="00372C6B">
        <w:rPr>
          <w:rFonts w:ascii="Calibri" w:hAnsi="Calibri" w:cs="Calibri"/>
        </w:rPr>
        <w:t>Real-time Monitoring (</w:t>
      </w:r>
      <w:r w:rsidRPr="00372C6B">
        <w:rPr>
          <w:rFonts w:ascii="Calibri" w:hAnsi="Calibri" w:cs="Calibri"/>
        </w:rPr>
        <w:t>RTM</w:t>
      </w:r>
      <w:r w:rsidR="00317874" w:rsidRPr="00372C6B">
        <w:rPr>
          <w:rFonts w:ascii="Calibri" w:hAnsi="Calibri" w:cs="Calibri"/>
        </w:rPr>
        <w:t>)</w:t>
      </w:r>
      <w:r w:rsidRPr="00372C6B">
        <w:rPr>
          <w:rFonts w:ascii="Calibri" w:hAnsi="Calibri" w:cs="Calibri"/>
        </w:rPr>
        <w:t>, RTA, and Operating Plan requirements.</w:t>
      </w:r>
    </w:p>
    <w:p w14:paraId="011AC07D" w14:textId="77777777" w:rsidR="0007679A" w:rsidRPr="00372C6B" w:rsidRDefault="0007679A">
      <w:pPr>
        <w:numPr>
          <w:ilvl w:val="0"/>
          <w:numId w:val="12"/>
        </w:numPr>
        <w:rPr>
          <w:rFonts w:ascii="Calibri" w:hAnsi="Calibri" w:cs="Calibri"/>
        </w:rPr>
      </w:pPr>
      <w:r w:rsidRPr="00372C6B">
        <w:rPr>
          <w:rFonts w:ascii="Calibri" w:hAnsi="Calibri" w:cs="Calibri"/>
        </w:rPr>
        <w:t>Expand NERC’s definitions and technical expectations to include dynamic stability, not just SOL/IROL thermal and voltage limits.</w:t>
      </w:r>
    </w:p>
    <w:p w14:paraId="7A5724C4" w14:textId="65CBEAAD" w:rsidR="0007679A" w:rsidRPr="00372C6B" w:rsidRDefault="0007679A">
      <w:pPr>
        <w:numPr>
          <w:ilvl w:val="0"/>
          <w:numId w:val="12"/>
        </w:numPr>
        <w:rPr>
          <w:rFonts w:ascii="Calibri" w:hAnsi="Calibri" w:cs="Calibri"/>
        </w:rPr>
      </w:pPr>
      <w:r w:rsidRPr="00372C6B">
        <w:rPr>
          <w:rFonts w:ascii="Calibri" w:hAnsi="Calibri" w:cs="Calibri"/>
        </w:rPr>
        <w:t xml:space="preserve">Require the use of modern analytical tools (WAMS, </w:t>
      </w:r>
      <w:r w:rsidR="006E5FCF" w:rsidRPr="00372C6B">
        <w:rPr>
          <w:rFonts w:ascii="Calibri" w:hAnsi="Calibri" w:cs="Calibri"/>
        </w:rPr>
        <w:t>Voltage Stability Assessment (</w:t>
      </w:r>
      <w:r w:rsidRPr="00372C6B">
        <w:rPr>
          <w:rFonts w:ascii="Calibri" w:hAnsi="Calibri" w:cs="Calibri"/>
        </w:rPr>
        <w:t>VSA</w:t>
      </w:r>
      <w:r w:rsidR="006E5FCF" w:rsidRPr="00372C6B">
        <w:rPr>
          <w:rFonts w:ascii="Calibri" w:hAnsi="Calibri" w:cs="Calibri"/>
        </w:rPr>
        <w:t>)</w:t>
      </w:r>
      <w:r w:rsidRPr="00372C6B">
        <w:rPr>
          <w:rFonts w:ascii="Calibri" w:hAnsi="Calibri" w:cs="Calibri"/>
        </w:rPr>
        <w:t>/</w:t>
      </w:r>
      <w:r w:rsidR="006E5FCF" w:rsidRPr="00372C6B">
        <w:rPr>
          <w:rFonts w:ascii="Calibri" w:hAnsi="Calibri" w:cs="Calibri"/>
        </w:rPr>
        <w:t>Transient Stability Assessment (</w:t>
      </w:r>
      <w:r w:rsidRPr="00372C6B">
        <w:rPr>
          <w:rFonts w:ascii="Calibri" w:hAnsi="Calibri" w:cs="Calibri"/>
        </w:rPr>
        <w:t>TSA</w:t>
      </w:r>
      <w:r w:rsidR="006E5FCF" w:rsidRPr="00372C6B">
        <w:rPr>
          <w:rFonts w:ascii="Calibri" w:hAnsi="Calibri" w:cs="Calibri"/>
        </w:rPr>
        <w:t>)</w:t>
      </w:r>
      <w:r w:rsidRPr="00372C6B">
        <w:rPr>
          <w:rFonts w:ascii="Calibri" w:hAnsi="Calibri" w:cs="Calibri"/>
        </w:rPr>
        <w:t xml:space="preserve">, </w:t>
      </w:r>
      <w:r w:rsidR="00735AAF" w:rsidRPr="00372C6B">
        <w:rPr>
          <w:rFonts w:ascii="Calibri" w:hAnsi="Calibri" w:cs="Calibri"/>
        </w:rPr>
        <w:t xml:space="preserve">cascading outages analysis, </w:t>
      </w:r>
      <w:r w:rsidRPr="00372C6B">
        <w:rPr>
          <w:rFonts w:ascii="Calibri" w:hAnsi="Calibri" w:cs="Calibri"/>
        </w:rPr>
        <w:t>oscillation monitoring).</w:t>
      </w:r>
    </w:p>
    <w:p w14:paraId="5960CF85" w14:textId="0903A695" w:rsidR="000D556E" w:rsidRPr="00372C6B" w:rsidRDefault="0007679A">
      <w:pPr>
        <w:numPr>
          <w:ilvl w:val="0"/>
          <w:numId w:val="12"/>
        </w:numPr>
        <w:rPr>
          <w:rFonts w:ascii="Calibri" w:hAnsi="Calibri" w:cs="Calibri"/>
        </w:rPr>
      </w:pPr>
      <w:r w:rsidRPr="00372C6B">
        <w:rPr>
          <w:rFonts w:ascii="Calibri" w:hAnsi="Calibri" w:cs="Calibri"/>
        </w:rPr>
        <w:t xml:space="preserve">Improve coordination and response to </w:t>
      </w:r>
      <w:r w:rsidR="22C08B6A" w:rsidRPr="00372C6B">
        <w:rPr>
          <w:rFonts w:ascii="Calibri" w:hAnsi="Calibri" w:cs="Calibri"/>
        </w:rPr>
        <w:t>stability related</w:t>
      </w:r>
      <w:r w:rsidRPr="00372C6B">
        <w:rPr>
          <w:rFonts w:ascii="Calibri" w:hAnsi="Calibri" w:cs="Calibri"/>
        </w:rPr>
        <w:t xml:space="preserve"> risks in operations.</w:t>
      </w:r>
    </w:p>
    <w:p w14:paraId="372CB62C" w14:textId="77777777" w:rsidR="000D556E" w:rsidRPr="00372C6B" w:rsidRDefault="000D556E" w:rsidP="006E2255">
      <w:pPr>
        <w:rPr>
          <w:rFonts w:ascii="Calibri" w:eastAsia="MS Mincho" w:hAnsi="Calibri" w:cs="Calibri"/>
        </w:rPr>
      </w:pPr>
    </w:p>
    <w:p w14:paraId="652E3814" w14:textId="093D275D" w:rsidR="00EA0D45" w:rsidRPr="00372C6B" w:rsidRDefault="00EA0D45" w:rsidP="00EA0D45">
      <w:pPr>
        <w:rPr>
          <w:rFonts w:ascii="Calibri" w:hAnsi="Calibri" w:cs="Calibri"/>
          <w:b/>
          <w:bCs/>
        </w:rPr>
      </w:pPr>
      <w:r w:rsidRPr="00372C6B">
        <w:rPr>
          <w:rFonts w:ascii="Calibri" w:hAnsi="Calibri" w:cs="Calibri"/>
          <w:b/>
          <w:bCs/>
        </w:rPr>
        <w:t xml:space="preserve">Proposed Implementation Roadmap </w:t>
      </w:r>
    </w:p>
    <w:p w14:paraId="392A34D8" w14:textId="77777777" w:rsidR="00EA0D45" w:rsidRPr="00372C6B" w:rsidRDefault="00EA0D45">
      <w:pPr>
        <w:numPr>
          <w:ilvl w:val="0"/>
          <w:numId w:val="14"/>
        </w:numPr>
        <w:rPr>
          <w:rFonts w:ascii="Calibri" w:hAnsi="Calibri" w:cs="Calibri"/>
        </w:rPr>
      </w:pPr>
      <w:r w:rsidRPr="00372C6B">
        <w:rPr>
          <w:rFonts w:ascii="Calibri" w:hAnsi="Calibri" w:cs="Calibri"/>
          <w:b/>
          <w:bCs/>
        </w:rPr>
        <w:t>Initiate SAR(s):</w:t>
      </w:r>
      <w:r w:rsidRPr="00372C6B">
        <w:rPr>
          <w:rFonts w:ascii="Calibri" w:hAnsi="Calibri" w:cs="Calibri"/>
        </w:rPr>
        <w:t xml:space="preserve"> Advance a SAR explicitly targeting operational stability monitoring/assessment requirements and an RTA definition update. </w:t>
      </w:r>
    </w:p>
    <w:p w14:paraId="233A0801" w14:textId="34994F05" w:rsidR="00EA0D45" w:rsidRPr="00372C6B" w:rsidRDefault="00EA0D45">
      <w:pPr>
        <w:numPr>
          <w:ilvl w:val="0"/>
          <w:numId w:val="14"/>
        </w:numPr>
        <w:rPr>
          <w:rFonts w:ascii="Calibri" w:hAnsi="Calibri" w:cs="Calibri"/>
        </w:rPr>
      </w:pPr>
      <w:r w:rsidRPr="00372C6B">
        <w:rPr>
          <w:rFonts w:ascii="Calibri" w:hAnsi="Calibri" w:cs="Calibri"/>
          <w:b/>
          <w:bCs/>
        </w:rPr>
        <w:t>Select Standards Homes:</w:t>
      </w:r>
      <w:r w:rsidRPr="00372C6B">
        <w:rPr>
          <w:rFonts w:ascii="Calibri" w:hAnsi="Calibri" w:cs="Calibri"/>
        </w:rPr>
        <w:t xml:space="preserve"> </w:t>
      </w:r>
      <w:r w:rsidR="00902E16" w:rsidRPr="00372C6B">
        <w:rPr>
          <w:rFonts w:ascii="Calibri" w:hAnsi="Calibri" w:cs="Calibri"/>
        </w:rPr>
        <w:t>Focus first on updating IRO</w:t>
      </w:r>
      <w:r w:rsidR="00902E16" w:rsidRPr="00372C6B">
        <w:rPr>
          <w:rFonts w:ascii="Cambria Math" w:hAnsi="Cambria Math" w:cs="Cambria Math"/>
        </w:rPr>
        <w:t>‑</w:t>
      </w:r>
      <w:r w:rsidR="00902E16" w:rsidRPr="00372C6B">
        <w:rPr>
          <w:rFonts w:ascii="Calibri" w:hAnsi="Calibri" w:cs="Calibri"/>
        </w:rPr>
        <w:t>002, TOP</w:t>
      </w:r>
      <w:r w:rsidR="00902E16" w:rsidRPr="00372C6B">
        <w:rPr>
          <w:rFonts w:ascii="Cambria Math" w:hAnsi="Cambria Math" w:cs="Cambria Math"/>
        </w:rPr>
        <w:t>‑</w:t>
      </w:r>
      <w:r w:rsidR="00902E16" w:rsidRPr="00372C6B">
        <w:rPr>
          <w:rFonts w:ascii="Calibri" w:hAnsi="Calibri" w:cs="Calibri"/>
        </w:rPr>
        <w:t>001, and TOP</w:t>
      </w:r>
      <w:r w:rsidR="00902E16" w:rsidRPr="00372C6B">
        <w:rPr>
          <w:rFonts w:ascii="Cambria Math" w:hAnsi="Cambria Math" w:cs="Cambria Math"/>
        </w:rPr>
        <w:t>‑</w:t>
      </w:r>
      <w:r w:rsidR="00902E16" w:rsidRPr="00372C6B">
        <w:rPr>
          <w:rFonts w:ascii="Calibri" w:hAnsi="Calibri" w:cs="Calibri"/>
        </w:rPr>
        <w:t>003, and consider creating a new stability standard if the cross</w:t>
      </w:r>
      <w:r w:rsidR="00902E16" w:rsidRPr="00372C6B">
        <w:rPr>
          <w:rFonts w:ascii="Cambria Math" w:hAnsi="Cambria Math" w:cs="Cambria Math"/>
        </w:rPr>
        <w:t>‑</w:t>
      </w:r>
      <w:r w:rsidR="00902E16" w:rsidRPr="00372C6B">
        <w:rPr>
          <w:rFonts w:ascii="Calibri" w:hAnsi="Calibri" w:cs="Calibri"/>
        </w:rPr>
        <w:t>references become too complicated.</w:t>
      </w:r>
    </w:p>
    <w:p w14:paraId="0451D76C" w14:textId="77777777" w:rsidR="00EA0D45" w:rsidRPr="00372C6B" w:rsidRDefault="00EA0D45">
      <w:pPr>
        <w:numPr>
          <w:ilvl w:val="0"/>
          <w:numId w:val="14"/>
        </w:numPr>
        <w:rPr>
          <w:rFonts w:ascii="Calibri" w:hAnsi="Calibri" w:cs="Calibri"/>
        </w:rPr>
      </w:pPr>
      <w:r w:rsidRPr="00372C6B">
        <w:rPr>
          <w:rFonts w:ascii="Calibri" w:hAnsi="Calibri" w:cs="Calibri"/>
          <w:b/>
          <w:bCs/>
        </w:rPr>
        <w:t>Draft Definitions &amp; Measures:</w:t>
      </w:r>
      <w:r w:rsidRPr="00372C6B">
        <w:rPr>
          <w:rFonts w:ascii="Calibri" w:hAnsi="Calibri" w:cs="Calibri"/>
        </w:rPr>
        <w:t xml:space="preserve"> Update Glossary entries (RTA) and define measurable performance indicators (e.g., damping ratio thresholds, angle separation limits, minimum TSA/VSA cadence). </w:t>
      </w:r>
    </w:p>
    <w:p w14:paraId="52C20188" w14:textId="77777777" w:rsidR="00EA0D45" w:rsidRPr="00372C6B" w:rsidRDefault="00EA0D45">
      <w:pPr>
        <w:numPr>
          <w:ilvl w:val="0"/>
          <w:numId w:val="14"/>
        </w:numPr>
        <w:rPr>
          <w:rFonts w:ascii="Calibri" w:hAnsi="Calibri" w:cs="Calibri"/>
        </w:rPr>
      </w:pPr>
      <w:r w:rsidRPr="00372C6B">
        <w:rPr>
          <w:rFonts w:ascii="Calibri" w:hAnsi="Calibri" w:cs="Calibri"/>
          <w:b/>
          <w:bCs/>
        </w:rPr>
        <w:t>Pilot &amp; Validate:</w:t>
      </w:r>
      <w:r w:rsidRPr="00372C6B">
        <w:rPr>
          <w:rFonts w:ascii="Calibri" w:hAnsi="Calibri" w:cs="Calibri"/>
        </w:rPr>
        <w:t xml:space="preserve"> Use existing RTA quality guidance as a foundation for validation, data quality, and evidence expectations before widescale enforcement. </w:t>
      </w:r>
    </w:p>
    <w:p w14:paraId="77C19A31" w14:textId="77777777" w:rsidR="00EA0D45" w:rsidRPr="00372C6B" w:rsidRDefault="00EA0D45">
      <w:pPr>
        <w:numPr>
          <w:ilvl w:val="0"/>
          <w:numId w:val="14"/>
        </w:numPr>
        <w:rPr>
          <w:rFonts w:ascii="Calibri" w:hAnsi="Calibri" w:cs="Calibri"/>
        </w:rPr>
      </w:pPr>
      <w:r w:rsidRPr="00372C6B">
        <w:rPr>
          <w:rFonts w:ascii="Calibri" w:hAnsi="Calibri" w:cs="Calibri"/>
          <w:b/>
          <w:bCs/>
        </w:rPr>
        <w:t>Align with IBR Projects:</w:t>
      </w:r>
      <w:r w:rsidRPr="00372C6B">
        <w:rPr>
          <w:rFonts w:ascii="Calibri" w:hAnsi="Calibri" w:cs="Calibri"/>
        </w:rPr>
        <w:t xml:space="preserve"> Coordinate timelines with active NERC standards projects responding to FERC Order 901 to avoid duplication and ensure coherent operational/IBR dynamics coverage. </w:t>
      </w:r>
    </w:p>
    <w:p w14:paraId="797BBC53" w14:textId="77777777" w:rsidR="00EA0D45" w:rsidRPr="00372C6B" w:rsidRDefault="00EA0D45" w:rsidP="006E2255">
      <w:pPr>
        <w:rPr>
          <w:rFonts w:ascii="Calibri" w:eastAsia="MS Mincho" w:hAnsi="Calibri" w:cs="Calibri"/>
        </w:rPr>
      </w:pPr>
    </w:p>
    <w:p w14:paraId="269D8906" w14:textId="77777777" w:rsidR="00902475" w:rsidRPr="00372C6B" w:rsidRDefault="00AD04A9" w:rsidP="00AD04A9">
      <w:pPr>
        <w:pStyle w:val="Heading1"/>
        <w:ind w:left="360" w:hanging="360"/>
        <w:rPr>
          <w:rFonts w:ascii="Calibri" w:hAnsi="Calibri" w:cs="Calibri"/>
        </w:rPr>
      </w:pPr>
      <w:bookmarkStart w:id="12" w:name="_Toc242948893"/>
      <w:r w:rsidRPr="00AD04A9">
        <w:rPr>
          <w:rFonts w:ascii="Calibri" w:hAnsi="Calibri" w:cs="Calibri"/>
        </w:rPr>
        <w:lastRenderedPageBreak/>
        <w:t>4.</w:t>
      </w:r>
      <w:r w:rsidRPr="00AD04A9">
        <w:rPr>
          <w:rFonts w:ascii="Times New Roman" w:hAnsi="Times New Roman"/>
          <w:sz w:val="14"/>
          <w:szCs w:val="14"/>
        </w:rPr>
        <w:t xml:space="preserve">  </w:t>
      </w:r>
      <w:r w:rsidR="00BC315C" w:rsidRPr="00372C6B">
        <w:rPr>
          <w:rFonts w:ascii="Calibri" w:hAnsi="Calibri" w:cs="Calibri"/>
        </w:rPr>
        <w:t>Conclusions and Next Steps</w:t>
      </w:r>
      <w:bookmarkEnd w:id="12"/>
    </w:p>
    <w:p w14:paraId="486BAB20" w14:textId="15DD9359" w:rsidR="005C7D82" w:rsidRDefault="005C7D82" w:rsidP="005C7D82">
      <w:pPr>
        <w:rPr>
          <w:rFonts w:ascii="Calibri" w:eastAsia="MS Mincho" w:hAnsi="Calibri" w:cs="Calibri"/>
        </w:rPr>
      </w:pPr>
    </w:p>
    <w:p w14:paraId="515A2F5E" w14:textId="77777777" w:rsidR="000D64B7" w:rsidRDefault="000542A0" w:rsidP="000D64B7">
      <w:pPr>
        <w:rPr>
          <w:rFonts w:ascii="Calibri" w:eastAsia="MS Mincho" w:hAnsi="Calibri" w:cs="Calibri"/>
        </w:rPr>
      </w:pPr>
      <w:r w:rsidRPr="000542A0">
        <w:rPr>
          <w:rFonts w:ascii="Calibri" w:eastAsia="MS Mincho" w:hAnsi="Calibri" w:cs="Calibri"/>
        </w:rPr>
        <w:t>This section summarizes the white paper’s core finding: the North American reliability framework should evolve from implicit, fragmented support for stability awareness to explicit requirements for real-time and lookahead stability monitoring, assessment, communications, and operating plans</w:t>
      </w:r>
      <w:r>
        <w:rPr>
          <w:rFonts w:ascii="Calibri" w:eastAsia="MS Mincho" w:hAnsi="Calibri" w:cs="Calibri"/>
        </w:rPr>
        <w:t>.</w:t>
      </w:r>
    </w:p>
    <w:p w14:paraId="79A0DAEA" w14:textId="7F789E34" w:rsidR="000542A0" w:rsidRPr="000D64B7" w:rsidRDefault="00CB3883" w:rsidP="000D64B7">
      <w:pPr>
        <w:pStyle w:val="Heading2"/>
        <w:numPr>
          <w:ilvl w:val="0"/>
          <w:numId w:val="0"/>
        </w:numPr>
        <w:spacing w:line="276" w:lineRule="auto"/>
        <w:rPr>
          <w:rFonts w:ascii="Calibri" w:eastAsia="MS Mincho" w:hAnsi="Calibri" w:cs="Calibri"/>
        </w:rPr>
      </w:pPr>
      <w:bookmarkStart w:id="13" w:name="_Toc242948894"/>
      <w:r>
        <w:rPr>
          <w:rFonts w:ascii="Calibri" w:eastAsia="Aptos Display" w:hAnsi="Calibri" w:cs="Calibri"/>
        </w:rPr>
        <w:t>4.1</w:t>
      </w:r>
      <w:r>
        <w:rPr>
          <w:rFonts w:ascii="Calibri" w:eastAsia="Aptos Display" w:hAnsi="Calibri" w:cs="Calibri"/>
        </w:rPr>
        <w:tab/>
      </w:r>
      <w:r w:rsidR="000542A0" w:rsidRPr="000542A0">
        <w:rPr>
          <w:rFonts w:ascii="Calibri" w:eastAsia="Aptos Display" w:hAnsi="Calibri" w:cs="Calibri"/>
        </w:rPr>
        <w:t>Executive Technical Findings</w:t>
      </w:r>
      <w:bookmarkEnd w:id="13"/>
    </w:p>
    <w:p w14:paraId="2288D082" w14:textId="77777777" w:rsidR="000542A0" w:rsidRPr="000542A0" w:rsidRDefault="000542A0" w:rsidP="000542A0">
      <w:pPr>
        <w:rPr>
          <w:rFonts w:ascii="Calibri" w:eastAsia="MS Mincho" w:hAnsi="Calibri" w:cs="Calibri"/>
        </w:rPr>
      </w:pPr>
      <w:r w:rsidRPr="000542A0">
        <w:rPr>
          <w:rFonts w:ascii="Calibri" w:eastAsia="MS Mincho" w:hAnsi="Calibri" w:cs="Calibri"/>
        </w:rPr>
        <w:t>One of the key conclusions of this white paper is that the existing NERC Reliability Standards provide important building blocks for reliability, but they do not create a complete operating framework for real-time stability assessment. Section 3 shows that standards such as FAC-011, FAC-014, IRO-002, IRO-008, IRO-009, IRO-010, IRO-018, TOP-001, TOP-002, TOP-003, TOP-010, PRC-002, MOD-026, MOD-027, MOD-033, PRC-028, and PRC-029 support situational awareness, operating limits, monitoring, data exchange, real-time assessments, disturbance monitoring, model validation, IBR performance, and coordination, but none of them explicitly requires Reliability Coordinators (RCs) and Transmission Operators (TOPs) to continuously monitor and assess Bulk Electric System (BES) stability in real time or in the lookahead operating horizon.</w:t>
      </w:r>
    </w:p>
    <w:p w14:paraId="75B3D135" w14:textId="77777777" w:rsidR="000542A0" w:rsidRPr="000542A0" w:rsidRDefault="000542A0" w:rsidP="000542A0">
      <w:pPr>
        <w:rPr>
          <w:rFonts w:ascii="Calibri" w:eastAsia="MS Mincho" w:hAnsi="Calibri" w:cs="Calibri"/>
        </w:rPr>
      </w:pPr>
      <w:r w:rsidRPr="000542A0">
        <w:rPr>
          <w:rFonts w:ascii="Calibri" w:eastAsia="MS Mincho" w:hAnsi="Calibri" w:cs="Calibri"/>
        </w:rPr>
        <w:t>This gap is material because compliance can be achieved without control-room-grade visibility into oscillation damping, forced oscillation detection, angular separation, transient and voltage stability margins, dynamic model performance, or stability-focused operating plans. The risk is increasing as the grid experiences higher IBR and DER penetration, greater use of grid-forming devices, declining system inertia, reduced frequency response, growing load demand, and the addition of large data centers, all of which change the dynamic behavior of the grid.</w:t>
      </w:r>
    </w:p>
    <w:p w14:paraId="57C51CE8" w14:textId="77777777" w:rsidR="00902475" w:rsidRPr="00372C6B" w:rsidRDefault="00BC315C" w:rsidP="00AE770E">
      <w:pPr>
        <w:rPr>
          <w:rFonts w:ascii="Calibri" w:hAnsi="Calibri" w:cs="Calibri"/>
        </w:rPr>
      </w:pPr>
      <w:r w:rsidRPr="001D0AF3">
        <w:rPr>
          <w:rFonts w:ascii="Calibri" w:hAnsi="Calibri" w:cs="Calibri"/>
        </w:rPr>
        <w:t xml:space="preserve">Section </w:t>
      </w:r>
      <w:r w:rsidR="001D0AF3" w:rsidRPr="001D0AF3">
        <w:rPr>
          <w:rFonts w:ascii="Calibri" w:hAnsi="Calibri" w:cs="Calibri"/>
        </w:rPr>
        <w:t>5</w:t>
      </w:r>
      <w:r w:rsidRPr="001D0AF3">
        <w:rPr>
          <w:rFonts w:ascii="Calibri" w:hAnsi="Calibri" w:cs="Calibri"/>
        </w:rPr>
        <w:t xml:space="preserve"> demonstrates that the necessary capabilities already exist in practice. AEMO has authority under clauses 4.11.1(d) and (e) of the National Electricity Rules to request PMU installations and real-time oscillation monitoring where a risk is identified, and its public notice to Transgrid demonstrates how a system operator can require measurement infrastructure to address operational risk. ONS Brazil’s proposed expansion from approximately 1,000 PMUs to approximately 3,000 PMUs further illustrates that wide-area synchrophasor observability and redundancy are being treated as prerequisites for future dynamic stability and oscillation monitoring requirements.</w:t>
      </w:r>
    </w:p>
    <w:p w14:paraId="3C0003F7" w14:textId="77777777" w:rsidR="00BC315C" w:rsidRDefault="00AF0745">
      <w:r w:rsidRPr="00AF0745">
        <w:rPr>
          <w:rFonts w:ascii="Calibri" w:hAnsi="Calibri" w:cs="Calibri"/>
        </w:rPr>
        <w:t xml:space="preserve">Section 6 reinforces the reliability basis. The 2003 Northeast blackout, the 2011 Pacific Southwest blackout, the 1996 Western Interconnection events, the 2019 Florida forced oscillation, the Wyoming disturbance, and recent international events repeatedly identify the same needs: stronger real-time and external visibility, adequate wide-area monitoring, better </w:t>
      </w:r>
      <w:r w:rsidRPr="00AF0745">
        <w:rPr>
          <w:rFonts w:ascii="Calibri" w:hAnsi="Calibri" w:cs="Calibri"/>
        </w:rPr>
        <w:lastRenderedPageBreak/>
        <w:t>online tools that are executed frequently, phase-angle awareness, voltage stability monitoring, oscillation detection and source-location capability, validation of online analysis with offline tools, conservative decision-making when results conflict, clear communication between operating entities, and actionable operating plans.</w:t>
      </w:r>
    </w:p>
    <w:p w14:paraId="34FCFB1A" w14:textId="77777777" w:rsidR="000D64B7" w:rsidRDefault="000542A0" w:rsidP="000D64B7">
      <w:pPr>
        <w:rPr>
          <w:rFonts w:ascii="Calibri" w:eastAsia="MS Mincho" w:hAnsi="Calibri" w:cs="Calibri"/>
        </w:rPr>
      </w:pPr>
      <w:r w:rsidRPr="000542A0">
        <w:rPr>
          <w:rFonts w:ascii="Calibri" w:eastAsia="MS Mincho" w:hAnsi="Calibri" w:cs="Calibri"/>
        </w:rPr>
        <w:t>Accordingly, the recommended reliability outcome is a standards-based framework that requires real-time and lookahead stability monitoring, defines minimum functional capability expectations, establishes stability-triggered communications, and requires operating plans for emerging dynamic risks. The resulting objective is to enable RCs and TOPs to identify emerging instability early enough to coordinate mitigation before it progresses to cascading outages, uncontrolled separation, voltage collapse, or harmful oscillatory behavior on the BES.</w:t>
      </w:r>
    </w:p>
    <w:p w14:paraId="0131CB30" w14:textId="306F32CF" w:rsidR="000542A0" w:rsidRPr="000D64B7" w:rsidRDefault="00CB3883" w:rsidP="000D64B7">
      <w:pPr>
        <w:pStyle w:val="Heading2"/>
        <w:numPr>
          <w:ilvl w:val="0"/>
          <w:numId w:val="0"/>
        </w:numPr>
        <w:spacing w:line="276" w:lineRule="auto"/>
        <w:rPr>
          <w:rFonts w:ascii="Calibri" w:eastAsia="MS Mincho" w:hAnsi="Calibri" w:cs="Calibri"/>
        </w:rPr>
      </w:pPr>
      <w:bookmarkStart w:id="14" w:name="_Toc242948895"/>
      <w:r>
        <w:rPr>
          <w:rFonts w:ascii="Calibri" w:eastAsia="Aptos Display" w:hAnsi="Calibri" w:cs="Calibri"/>
        </w:rPr>
        <w:t>4.2</w:t>
      </w:r>
      <w:r>
        <w:rPr>
          <w:rFonts w:ascii="Calibri" w:eastAsia="Aptos Display" w:hAnsi="Calibri" w:cs="Calibri"/>
        </w:rPr>
        <w:tab/>
      </w:r>
      <w:r w:rsidR="000542A0" w:rsidRPr="000542A0">
        <w:rPr>
          <w:rFonts w:ascii="Calibri" w:eastAsia="Aptos Display" w:hAnsi="Calibri" w:cs="Calibri"/>
        </w:rPr>
        <w:t>Recommended Standards Strategy</w:t>
      </w:r>
      <w:bookmarkEnd w:id="14"/>
    </w:p>
    <w:p w14:paraId="43510EDB" w14:textId="77777777" w:rsidR="00D06484" w:rsidRPr="00D06484" w:rsidRDefault="00D06484" w:rsidP="00D06484">
      <w:pPr>
        <w:rPr>
          <w:rFonts w:ascii="Calibri" w:eastAsia="MS Mincho" w:hAnsi="Calibri" w:cs="Calibri"/>
        </w:rPr>
      </w:pPr>
      <w:r w:rsidRPr="00D06484">
        <w:rPr>
          <w:rFonts w:ascii="Calibri" w:eastAsia="MS Mincho" w:hAnsi="Calibri" w:cs="Calibri"/>
        </w:rPr>
        <w:t>The recommended strategy is to advance a NERC SAR that establishes explicit, enforceable requirements for real-time and lookahead stability monitoring and assessment. The SAR should make clear that the reliability need is not limited to additional data collection; it is to ensure that operators can see, assess, communicate, and act on emerging dynamic instability.</w:t>
      </w:r>
    </w:p>
    <w:p w14:paraId="17B3C3CC" w14:textId="77777777" w:rsidR="00D06484" w:rsidRPr="00D06484" w:rsidRDefault="00D06484" w:rsidP="00D06484">
      <w:pPr>
        <w:rPr>
          <w:rFonts w:ascii="Calibri" w:eastAsia="MS Mincho" w:hAnsi="Calibri" w:cs="Calibri"/>
        </w:rPr>
      </w:pPr>
      <w:r w:rsidRPr="00D06484">
        <w:rPr>
          <w:rFonts w:ascii="Calibri" w:eastAsia="MS Mincho" w:hAnsi="Calibri" w:cs="Calibri"/>
        </w:rPr>
        <w:t>The SAR should evaluate whether the most effective approach is targeted revisions to the IRO, TOP, FAC, and COM standards and the related Glossary definitions, including the Real-time Assessment definition, or a new dedicated stability monitoring standard that references existing IRO and TOP responsibilities. A dedicated standard may provide the clearest structure if the requirements need to address tool capability, data quality, alarm criteria, communications, operating plans, validation, and evidence expectations within one coordinated framework.</w:t>
      </w:r>
    </w:p>
    <w:p w14:paraId="666B3396" w14:textId="77777777" w:rsidR="00D06484" w:rsidRPr="00D06484" w:rsidRDefault="00D06484" w:rsidP="00D06484">
      <w:pPr>
        <w:rPr>
          <w:rFonts w:ascii="Calibri" w:eastAsia="MS Mincho" w:hAnsi="Calibri" w:cs="Calibri"/>
        </w:rPr>
      </w:pPr>
      <w:r w:rsidRPr="00D06484">
        <w:rPr>
          <w:rFonts w:ascii="Calibri" w:eastAsia="MS Mincho" w:hAnsi="Calibri" w:cs="Calibri"/>
        </w:rPr>
        <w:t>At a minimum, the SAR should consider requirements for PMU and WAMS observability, oscillation detection and classification, source-location capability, voltage and angular stability monitoring, transient stability assessment, dynamic security assessment, operator visualization, data quality, alarm availability, analysis accuracy, and periodic validation using offline tools or post-event data.</w:t>
      </w:r>
    </w:p>
    <w:p w14:paraId="39A6F076" w14:textId="77777777" w:rsidR="00D06484" w:rsidRPr="00D06484" w:rsidRDefault="00D06484" w:rsidP="00D06484">
      <w:pPr>
        <w:rPr>
          <w:rFonts w:ascii="Calibri" w:eastAsia="MS Mincho" w:hAnsi="Calibri" w:cs="Calibri"/>
        </w:rPr>
      </w:pPr>
      <w:r w:rsidRPr="00D06484">
        <w:rPr>
          <w:rFonts w:ascii="Calibri" w:eastAsia="MS Mincho" w:hAnsi="Calibri" w:cs="Calibri"/>
        </w:rPr>
        <w:t>The SAR should also define stability-focused operating plan expectations. These plans should identify decision thresholds, escalation criteria, required mitigation actions, and coordination steps for low damping, sustained or forced oscillations, angular separation, voltage instability margins, phase-angle concerns, IBR control interactions, RAS status changes, and conflicting online analysis results.</w:t>
      </w:r>
    </w:p>
    <w:p w14:paraId="52C1CB15" w14:textId="77777777" w:rsidR="000D64B7" w:rsidRDefault="00D06484" w:rsidP="000D64B7">
      <w:pPr>
        <w:rPr>
          <w:rFonts w:ascii="Calibri" w:eastAsia="MS Mincho" w:hAnsi="Calibri" w:cs="Calibri"/>
        </w:rPr>
      </w:pPr>
      <w:r w:rsidRPr="00D06484">
        <w:rPr>
          <w:rFonts w:ascii="Calibri" w:eastAsia="MS Mincho" w:hAnsi="Calibri" w:cs="Calibri"/>
        </w:rPr>
        <w:t xml:space="preserve">Communication requirements should be treated as a core element of the reliability outcome. Similar to existing expectations for SOL and IROL exceedances, stability-triggered communications should define who must be notified, what information must be shared, when </w:t>
      </w:r>
      <w:r w:rsidRPr="00D06484">
        <w:rPr>
          <w:rFonts w:ascii="Calibri" w:eastAsia="MS Mincho" w:hAnsi="Calibri" w:cs="Calibri"/>
        </w:rPr>
        <w:lastRenderedPageBreak/>
        <w:t>the communication is required, and how RCs, TOPs, BAs, GOs, and neighboring entities coordinate when dynamic risk indicators exceed defined thresholds. This work should also remain coordinated with active NERC and FERC initiatives addressing IBR performance, disturbance monitoring, model validation, and real-time assessment quality so that stability monitoring becomes part of a coherent framework rather than a separate or duplicative effort.</w:t>
      </w:r>
    </w:p>
    <w:p w14:paraId="662C967C" w14:textId="07012A56" w:rsidR="00D06484" w:rsidRPr="000D64B7" w:rsidRDefault="00CB3883" w:rsidP="000D64B7">
      <w:pPr>
        <w:pStyle w:val="Heading2"/>
        <w:numPr>
          <w:ilvl w:val="0"/>
          <w:numId w:val="0"/>
        </w:numPr>
        <w:spacing w:line="276" w:lineRule="auto"/>
        <w:rPr>
          <w:rFonts w:ascii="Calibri" w:eastAsia="MS Mincho" w:hAnsi="Calibri" w:cs="Calibri"/>
        </w:rPr>
      </w:pPr>
      <w:bookmarkStart w:id="15" w:name="_Toc242948896"/>
      <w:r>
        <w:rPr>
          <w:rFonts w:ascii="Calibri" w:eastAsia="Aptos Display" w:hAnsi="Calibri" w:cs="Calibri"/>
        </w:rPr>
        <w:t>4.3</w:t>
      </w:r>
      <w:r>
        <w:rPr>
          <w:rFonts w:ascii="Calibri" w:eastAsia="Aptos Display" w:hAnsi="Calibri" w:cs="Calibri"/>
        </w:rPr>
        <w:tab/>
      </w:r>
      <w:r w:rsidR="00D06484" w:rsidRPr="00D06484">
        <w:rPr>
          <w:rFonts w:ascii="Calibri" w:eastAsia="Aptos Display" w:hAnsi="Calibri" w:cs="Calibri"/>
        </w:rPr>
        <w:t>Implementation Priorities and Next Steps</w:t>
      </w:r>
      <w:bookmarkEnd w:id="15"/>
    </w:p>
    <w:p w14:paraId="0F870A27" w14:textId="77777777" w:rsidR="00D06484" w:rsidRPr="00D06484" w:rsidRDefault="00D06484" w:rsidP="00D06484">
      <w:pPr>
        <w:rPr>
          <w:rFonts w:ascii="Calibri" w:eastAsia="MS Mincho" w:hAnsi="Calibri" w:cs="Calibri"/>
        </w:rPr>
      </w:pPr>
      <w:r w:rsidRPr="00D06484">
        <w:rPr>
          <w:rFonts w:ascii="Calibri" w:eastAsia="MS Mincho" w:hAnsi="Calibri" w:cs="Calibri"/>
        </w:rPr>
        <w:t>The immediate next step is to convert the white paper findings into a SAR package that includes a concise problem statement, the proposed reliability objective, the affected standards and definitions, the proposed capability areas, implementation considerations, and supporting evidence drawn from the standards gaps, current practices, and event recommendations.</w:t>
      </w:r>
    </w:p>
    <w:p w14:paraId="4A9D2481" w14:textId="69765848" w:rsidR="00D06484" w:rsidRPr="00D06484" w:rsidRDefault="00D06484" w:rsidP="00D06484">
      <w:pPr>
        <w:pStyle w:val="ListParagraph"/>
        <w:numPr>
          <w:ilvl w:val="3"/>
          <w:numId w:val="25"/>
        </w:numPr>
        <w:ind w:left="720"/>
        <w:rPr>
          <w:rFonts w:ascii="Calibri" w:eastAsia="MS Mincho" w:hAnsi="Calibri" w:cs="Calibri"/>
        </w:rPr>
      </w:pPr>
      <w:r w:rsidRPr="00D06484">
        <w:rPr>
          <w:rFonts w:ascii="Calibri" w:eastAsia="MS Mincho" w:hAnsi="Calibri" w:cs="Calibri"/>
          <w:b/>
          <w:bCs/>
        </w:rPr>
        <w:t>Finalize the technical basis</w:t>
      </w:r>
      <w:r w:rsidRPr="00D06484">
        <w:rPr>
          <w:rFonts w:ascii="Calibri" w:eastAsia="MS Mincho" w:hAnsi="Calibri" w:cs="Calibri"/>
        </w:rPr>
        <w:t>. Confirm the standards gap analysis, event lessons, and current-practice examples that will support the SAR justification.</w:t>
      </w:r>
    </w:p>
    <w:p w14:paraId="098E3465" w14:textId="04A54F0F" w:rsidR="00D06484" w:rsidRPr="00D06484" w:rsidRDefault="00D06484" w:rsidP="00D06484">
      <w:pPr>
        <w:pStyle w:val="ListParagraph"/>
        <w:numPr>
          <w:ilvl w:val="3"/>
          <w:numId w:val="25"/>
        </w:numPr>
        <w:ind w:left="720"/>
        <w:rPr>
          <w:rFonts w:ascii="Calibri" w:eastAsia="MS Mincho" w:hAnsi="Calibri" w:cs="Calibri"/>
        </w:rPr>
      </w:pPr>
      <w:r w:rsidRPr="00D06484">
        <w:rPr>
          <w:rFonts w:ascii="Calibri" w:eastAsia="MS Mincho" w:hAnsi="Calibri" w:cs="Calibri"/>
          <w:b/>
          <w:bCs/>
        </w:rPr>
        <w:t>Define the expected reliability outcome</w:t>
      </w:r>
      <w:r w:rsidRPr="00D06484">
        <w:rPr>
          <w:rFonts w:ascii="Calibri" w:eastAsia="MS Mincho" w:hAnsi="Calibri" w:cs="Calibri"/>
        </w:rPr>
        <w:t>. State that RCs and TOPs must be able to monitor, assess, communicate, and act on real-time and lookahead stability risks.</w:t>
      </w:r>
    </w:p>
    <w:p w14:paraId="2F7CBDC4" w14:textId="08C94BB0" w:rsidR="00D06484" w:rsidRPr="00D06484" w:rsidRDefault="00D06484" w:rsidP="00D06484">
      <w:pPr>
        <w:pStyle w:val="ListParagraph"/>
        <w:numPr>
          <w:ilvl w:val="3"/>
          <w:numId w:val="25"/>
        </w:numPr>
        <w:ind w:left="720"/>
        <w:rPr>
          <w:rFonts w:ascii="Calibri" w:eastAsia="MS Mincho" w:hAnsi="Calibri" w:cs="Calibri"/>
        </w:rPr>
      </w:pPr>
      <w:r w:rsidRPr="00D06484">
        <w:rPr>
          <w:rFonts w:ascii="Calibri" w:eastAsia="MS Mincho" w:hAnsi="Calibri" w:cs="Calibri"/>
          <w:b/>
          <w:bCs/>
        </w:rPr>
        <w:t>Select the standards pathway</w:t>
      </w:r>
      <w:r w:rsidRPr="00D06484">
        <w:rPr>
          <w:rFonts w:ascii="Calibri" w:eastAsia="MS Mincho" w:hAnsi="Calibri" w:cs="Calibri"/>
        </w:rPr>
        <w:t>. Decide whether targeted revisions or a new dedicated standard provides the clearest and most enforceable requirements.</w:t>
      </w:r>
    </w:p>
    <w:p w14:paraId="5F88CF15" w14:textId="61D6C4E0" w:rsidR="00D06484" w:rsidRPr="00D06484" w:rsidRDefault="00D06484" w:rsidP="00D06484">
      <w:pPr>
        <w:pStyle w:val="ListParagraph"/>
        <w:numPr>
          <w:ilvl w:val="3"/>
          <w:numId w:val="25"/>
        </w:numPr>
        <w:ind w:left="720"/>
        <w:rPr>
          <w:rFonts w:ascii="Calibri" w:eastAsia="MS Mincho" w:hAnsi="Calibri" w:cs="Calibri"/>
        </w:rPr>
      </w:pPr>
      <w:r w:rsidRPr="00D06484">
        <w:rPr>
          <w:rFonts w:ascii="Calibri" w:eastAsia="MS Mincho" w:hAnsi="Calibri" w:cs="Calibri"/>
          <w:b/>
          <w:bCs/>
        </w:rPr>
        <w:t>Refine functional requirements</w:t>
      </w:r>
      <w:r w:rsidRPr="00D06484">
        <w:rPr>
          <w:rFonts w:ascii="Calibri" w:eastAsia="MS Mincho" w:hAnsi="Calibri" w:cs="Calibri"/>
        </w:rPr>
        <w:t>. Define minimum expectations for PMU/WAMS observability, oscillation monitoring, voltage and angular stability assessment, dynamic security assessment, alarming, visualization, data quality, and validation.</w:t>
      </w:r>
    </w:p>
    <w:p w14:paraId="1E7D5264" w14:textId="01530AF6" w:rsidR="00D06484" w:rsidRPr="00D06484" w:rsidRDefault="00D06484" w:rsidP="00D06484">
      <w:pPr>
        <w:pStyle w:val="ListParagraph"/>
        <w:numPr>
          <w:ilvl w:val="3"/>
          <w:numId w:val="25"/>
        </w:numPr>
        <w:ind w:left="720"/>
        <w:rPr>
          <w:rFonts w:ascii="Calibri" w:eastAsia="MS Mincho" w:hAnsi="Calibri" w:cs="Calibri"/>
        </w:rPr>
      </w:pPr>
      <w:r w:rsidRPr="00D06484">
        <w:rPr>
          <w:rFonts w:ascii="Calibri" w:eastAsia="MS Mincho" w:hAnsi="Calibri" w:cs="Calibri"/>
          <w:b/>
          <w:bCs/>
        </w:rPr>
        <w:t>Develop operating plan and communication expectations</w:t>
      </w:r>
      <w:r w:rsidRPr="00D06484">
        <w:rPr>
          <w:rFonts w:ascii="Calibri" w:eastAsia="MS Mincho" w:hAnsi="Calibri" w:cs="Calibri"/>
        </w:rPr>
        <w:t>. Establish triggers, procedures, roles, notification expectations, and mitigation actions for emerging instability conditions.</w:t>
      </w:r>
    </w:p>
    <w:p w14:paraId="48CE802C" w14:textId="028B46FB" w:rsidR="00D06484" w:rsidRPr="00D06484" w:rsidRDefault="00D06484" w:rsidP="00D06484">
      <w:pPr>
        <w:pStyle w:val="ListParagraph"/>
        <w:numPr>
          <w:ilvl w:val="3"/>
          <w:numId w:val="25"/>
        </w:numPr>
        <w:ind w:left="720"/>
        <w:rPr>
          <w:rFonts w:ascii="Calibri" w:eastAsia="MS Mincho" w:hAnsi="Calibri" w:cs="Calibri"/>
        </w:rPr>
      </w:pPr>
      <w:r w:rsidRPr="00D06484">
        <w:rPr>
          <w:rFonts w:ascii="Calibri" w:eastAsia="MS Mincho" w:hAnsi="Calibri" w:cs="Calibri"/>
          <w:b/>
          <w:bCs/>
        </w:rPr>
        <w:t>Coordinate with related initiatives</w:t>
      </w:r>
      <w:r w:rsidRPr="00D06484">
        <w:rPr>
          <w:rFonts w:ascii="Calibri" w:eastAsia="MS Mincho" w:hAnsi="Calibri" w:cs="Calibri"/>
        </w:rPr>
        <w:t>. Align the SAR with ongoing NERC and FERC Order 901-related work on IBR performance, disturbance monitoring, model validation, and real-time assessment quality.</w:t>
      </w:r>
    </w:p>
    <w:p w14:paraId="3517FA84" w14:textId="413A15BD" w:rsidR="00D06484" w:rsidRPr="00D06484" w:rsidRDefault="00D06484" w:rsidP="00D06484">
      <w:pPr>
        <w:pStyle w:val="ListParagraph"/>
        <w:numPr>
          <w:ilvl w:val="3"/>
          <w:numId w:val="25"/>
        </w:numPr>
        <w:ind w:left="720"/>
        <w:rPr>
          <w:rFonts w:ascii="Calibri" w:eastAsia="MS Mincho" w:hAnsi="Calibri" w:cs="Calibri"/>
        </w:rPr>
      </w:pPr>
      <w:r w:rsidRPr="00D06484">
        <w:rPr>
          <w:rFonts w:ascii="Calibri" w:eastAsia="MS Mincho" w:hAnsi="Calibri" w:cs="Calibri"/>
          <w:b/>
          <w:bCs/>
        </w:rPr>
        <w:t>Build industry support</w:t>
      </w:r>
      <w:r w:rsidRPr="00D06484">
        <w:rPr>
          <w:rFonts w:ascii="Calibri" w:eastAsia="MS Mincho" w:hAnsi="Calibri" w:cs="Calibri"/>
        </w:rPr>
        <w:t>. Engage RCs, TOPs, BAs, GOs, PMU/WAMS users, NASPI groups, and standards stakeholders to validate the reliability need and implementation approach.</w:t>
      </w:r>
    </w:p>
    <w:p w14:paraId="60B4F1C6" w14:textId="73F26E52" w:rsidR="00D06484" w:rsidRPr="00372C6B" w:rsidRDefault="00D06484" w:rsidP="00D06484">
      <w:pPr>
        <w:rPr>
          <w:rFonts w:ascii="Calibri" w:eastAsia="MS Mincho" w:hAnsi="Calibri" w:cs="Calibri"/>
        </w:rPr>
      </w:pPr>
      <w:r w:rsidRPr="00D06484">
        <w:rPr>
          <w:rFonts w:ascii="Calibri" w:eastAsia="MS Mincho" w:hAnsi="Calibri" w:cs="Calibri"/>
        </w:rPr>
        <w:t>By advancing this SAR, the industry can convert repeated lessons from standards reviews, global practices, and major reliability events into clear operating expectations. The result would be a more consistent North American framework for detecting instability earlier, improving coordinated response, and reducing the risk of cascading outages, uncontrolled separation, voltage collapse, and harmful oscillations as the BES continues to evolve.</w:t>
      </w:r>
    </w:p>
    <w:p w14:paraId="148DFA44" w14:textId="0C9BB7FF" w:rsidR="6B895F00" w:rsidRPr="00372C6B" w:rsidRDefault="6B895F00" w:rsidP="6B895F00">
      <w:pPr>
        <w:rPr>
          <w:rFonts w:ascii="Calibri" w:eastAsia="MS Mincho" w:hAnsi="Calibri" w:cs="Calibri"/>
          <w:b/>
          <w:bCs/>
        </w:rPr>
      </w:pPr>
    </w:p>
    <w:p w14:paraId="61BD6159" w14:textId="77777777" w:rsidR="006A150E" w:rsidRPr="00372C6B" w:rsidRDefault="006A150E" w:rsidP="006A150E">
      <w:pPr>
        <w:rPr>
          <w:rFonts w:ascii="Calibri" w:hAnsi="Calibri" w:cs="Calibri"/>
        </w:rPr>
      </w:pPr>
    </w:p>
    <w:p w14:paraId="329D1040" w14:textId="265FA9B9" w:rsidR="003A1AA3" w:rsidRDefault="003A1AA3" w:rsidP="003A1AA3">
      <w:pPr>
        <w:pStyle w:val="Heading1"/>
        <w:ind w:left="360" w:hanging="360"/>
        <w:rPr>
          <w:rFonts w:ascii="Calibri" w:hAnsi="Calibri" w:cs="Calibri"/>
        </w:rPr>
      </w:pPr>
      <w:r>
        <w:rPr>
          <w:rFonts w:ascii="Calibri" w:hAnsi="Calibri" w:cs="Calibri"/>
        </w:rPr>
        <w:lastRenderedPageBreak/>
        <w:t>5</w:t>
      </w:r>
      <w:r w:rsidRPr="00E03C4B">
        <w:rPr>
          <w:rFonts w:ascii="Calibri" w:hAnsi="Calibri" w:cs="Calibri"/>
        </w:rPr>
        <w:t>.</w:t>
      </w:r>
      <w:r w:rsidRPr="00E03C4B">
        <w:rPr>
          <w:rFonts w:ascii="Times New Roman" w:hAnsi="Times New Roman"/>
          <w:sz w:val="14"/>
          <w:szCs w:val="14"/>
        </w:rPr>
        <w:t xml:space="preserve">  </w:t>
      </w:r>
      <w:bookmarkStart w:id="16" w:name="_Ref234438598"/>
      <w:bookmarkStart w:id="17" w:name="_Toc242948897"/>
      <w:r w:rsidRPr="00372C6B">
        <w:rPr>
          <w:rFonts w:ascii="Calibri" w:hAnsi="Calibri" w:cs="Calibri"/>
        </w:rPr>
        <w:t>References</w:t>
      </w:r>
      <w:bookmarkEnd w:id="16"/>
      <w:bookmarkEnd w:id="17"/>
    </w:p>
    <w:p w14:paraId="4E852F08" w14:textId="77777777" w:rsidR="003A1AA3" w:rsidRPr="00372C6B" w:rsidRDefault="003A1AA3" w:rsidP="003A1AA3">
      <w:pPr>
        <w:rPr>
          <w:rFonts w:ascii="Calibri" w:hAnsi="Calibri" w:cs="Calibri"/>
        </w:rPr>
      </w:pPr>
    </w:p>
    <w:p w14:paraId="666A2031" w14:textId="77777777" w:rsidR="003A1AA3" w:rsidRPr="00372C6B" w:rsidRDefault="003A1AA3" w:rsidP="003A1AA3">
      <w:pPr>
        <w:rPr>
          <w:rFonts w:ascii="Calibri" w:hAnsi="Calibri" w:cs="Calibri"/>
          <w:sz w:val="40"/>
          <w:szCs w:val="40"/>
        </w:rPr>
      </w:pPr>
      <w:r w:rsidRPr="00372C6B">
        <w:rPr>
          <w:rFonts w:ascii="Calibri" w:hAnsi="Calibri" w:cs="Calibri"/>
          <w:sz w:val="40"/>
          <w:szCs w:val="40"/>
        </w:rPr>
        <w:t xml:space="preserve">Additional Guidance and Technical Resources Supporting Real-Time Stability Monitoring </w:t>
      </w:r>
    </w:p>
    <w:tbl>
      <w:tblPr>
        <w:tblStyle w:val="TableGrid"/>
        <w:tblW w:w="10345" w:type="dxa"/>
        <w:tblLayout w:type="fixed"/>
        <w:tblLook w:val="04A0" w:firstRow="1" w:lastRow="0" w:firstColumn="1" w:lastColumn="0" w:noHBand="0" w:noVBand="1"/>
      </w:tblPr>
      <w:tblGrid>
        <w:gridCol w:w="625"/>
        <w:gridCol w:w="2970"/>
        <w:gridCol w:w="1440"/>
        <w:gridCol w:w="3060"/>
        <w:gridCol w:w="2250"/>
      </w:tblGrid>
      <w:tr w:rsidR="003A1AA3" w:rsidRPr="00372C6B" w14:paraId="7AB5B2B1" w14:textId="77777777" w:rsidTr="000E4402">
        <w:tc>
          <w:tcPr>
            <w:tcW w:w="625" w:type="dxa"/>
          </w:tcPr>
          <w:p w14:paraId="1061F349" w14:textId="77777777" w:rsidR="003A1AA3" w:rsidRPr="00523E11" w:rsidRDefault="003A1AA3" w:rsidP="000E4402">
            <w:pPr>
              <w:rPr>
                <w:rFonts w:ascii="Calibri" w:hAnsi="Calibri" w:cs="Calibri"/>
              </w:rPr>
            </w:pPr>
            <w:r w:rsidRPr="00523E11">
              <w:rPr>
                <w:rFonts w:ascii="Calibri" w:hAnsi="Calibri" w:cs="Calibri"/>
              </w:rPr>
              <w:t>No.</w:t>
            </w:r>
          </w:p>
        </w:tc>
        <w:tc>
          <w:tcPr>
            <w:tcW w:w="2970" w:type="dxa"/>
          </w:tcPr>
          <w:p w14:paraId="18BEF82F" w14:textId="77777777" w:rsidR="003A1AA3" w:rsidRPr="00523E11" w:rsidRDefault="003A1AA3" w:rsidP="000E4402">
            <w:pPr>
              <w:rPr>
                <w:rFonts w:ascii="Calibri" w:hAnsi="Calibri" w:cs="Calibri"/>
              </w:rPr>
            </w:pPr>
            <w:r w:rsidRPr="00523E11">
              <w:rPr>
                <w:rFonts w:ascii="Calibri" w:hAnsi="Calibri" w:cs="Calibri"/>
              </w:rPr>
              <w:t>Resource</w:t>
            </w:r>
          </w:p>
        </w:tc>
        <w:tc>
          <w:tcPr>
            <w:tcW w:w="1440" w:type="dxa"/>
          </w:tcPr>
          <w:p w14:paraId="7143F38B" w14:textId="77777777" w:rsidR="003A1AA3" w:rsidRPr="00523E11" w:rsidRDefault="003A1AA3" w:rsidP="000E4402">
            <w:pPr>
              <w:rPr>
                <w:rFonts w:ascii="Calibri" w:hAnsi="Calibri" w:cs="Calibri"/>
              </w:rPr>
            </w:pPr>
            <w:r w:rsidRPr="00523E11">
              <w:rPr>
                <w:rFonts w:ascii="Calibri" w:hAnsi="Calibri" w:cs="Calibri"/>
              </w:rPr>
              <w:t>Focus Area</w:t>
            </w:r>
          </w:p>
        </w:tc>
        <w:tc>
          <w:tcPr>
            <w:tcW w:w="3060" w:type="dxa"/>
          </w:tcPr>
          <w:p w14:paraId="56E31ED8" w14:textId="77777777" w:rsidR="003A1AA3" w:rsidRPr="00523E11" w:rsidRDefault="003A1AA3" w:rsidP="000E4402">
            <w:pPr>
              <w:rPr>
                <w:rFonts w:ascii="Calibri" w:hAnsi="Calibri" w:cs="Calibri"/>
              </w:rPr>
            </w:pPr>
            <w:r w:rsidRPr="00523E11">
              <w:rPr>
                <w:rFonts w:ascii="Calibri" w:hAnsi="Calibri" w:cs="Calibri"/>
              </w:rPr>
              <w:t>Key Takeaways</w:t>
            </w:r>
          </w:p>
        </w:tc>
        <w:tc>
          <w:tcPr>
            <w:tcW w:w="2250" w:type="dxa"/>
          </w:tcPr>
          <w:p w14:paraId="62232E57" w14:textId="77777777" w:rsidR="003A1AA3" w:rsidRPr="00523E11" w:rsidRDefault="003A1AA3" w:rsidP="000E4402">
            <w:pPr>
              <w:rPr>
                <w:rFonts w:ascii="Calibri" w:hAnsi="Calibri" w:cs="Calibri"/>
              </w:rPr>
            </w:pPr>
            <w:r w:rsidRPr="00523E11">
              <w:rPr>
                <w:rFonts w:ascii="Calibri" w:hAnsi="Calibri" w:cs="Calibri"/>
              </w:rPr>
              <w:t>Link</w:t>
            </w:r>
          </w:p>
        </w:tc>
      </w:tr>
      <w:tr w:rsidR="003A1AA3" w:rsidRPr="00372C6B" w14:paraId="51676FCC" w14:textId="77777777" w:rsidTr="000E4402">
        <w:tc>
          <w:tcPr>
            <w:tcW w:w="625" w:type="dxa"/>
          </w:tcPr>
          <w:p w14:paraId="27953081" w14:textId="77777777" w:rsidR="003A1AA3" w:rsidRPr="00372C6B" w:rsidRDefault="003A1AA3" w:rsidP="000E4402">
            <w:pPr>
              <w:rPr>
                <w:rFonts w:ascii="Calibri" w:hAnsi="Calibri" w:cs="Calibri"/>
              </w:rPr>
            </w:pPr>
            <w:r>
              <w:rPr>
                <w:rFonts w:ascii="Calibri" w:hAnsi="Calibri" w:cs="Calibri"/>
              </w:rPr>
              <w:t>1</w:t>
            </w:r>
          </w:p>
        </w:tc>
        <w:tc>
          <w:tcPr>
            <w:tcW w:w="2970" w:type="dxa"/>
          </w:tcPr>
          <w:p w14:paraId="2172969D" w14:textId="77777777" w:rsidR="003A1AA3" w:rsidRPr="00372C6B" w:rsidRDefault="003A1AA3" w:rsidP="000E4402">
            <w:pPr>
              <w:rPr>
                <w:rFonts w:ascii="Calibri" w:hAnsi="Calibri" w:cs="Calibri"/>
              </w:rPr>
            </w:pPr>
            <w:r w:rsidRPr="00372C6B">
              <w:rPr>
                <w:rFonts w:ascii="Calibri" w:hAnsi="Calibri" w:cs="Calibri"/>
              </w:rPr>
              <w:t>Real-time Implementation and Performance Analysis of a Machine Learning Based Voltage Stability Monitoring System (CIGRE)</w:t>
            </w:r>
          </w:p>
        </w:tc>
        <w:tc>
          <w:tcPr>
            <w:tcW w:w="1440" w:type="dxa"/>
          </w:tcPr>
          <w:p w14:paraId="4408BF08" w14:textId="77777777" w:rsidR="003A1AA3" w:rsidRPr="00372C6B" w:rsidRDefault="003A1AA3" w:rsidP="000E4402">
            <w:pPr>
              <w:rPr>
                <w:rFonts w:ascii="Calibri" w:hAnsi="Calibri" w:cs="Calibri"/>
              </w:rPr>
            </w:pPr>
            <w:r w:rsidRPr="00372C6B">
              <w:rPr>
                <w:rFonts w:ascii="Calibri" w:hAnsi="Calibri" w:cs="Calibri"/>
              </w:rPr>
              <w:t>Voltage Stability Monitoring</w:t>
            </w:r>
          </w:p>
        </w:tc>
        <w:tc>
          <w:tcPr>
            <w:tcW w:w="3060" w:type="dxa"/>
          </w:tcPr>
          <w:p w14:paraId="1E956003" w14:textId="77777777" w:rsidR="003A1AA3" w:rsidRPr="00372C6B" w:rsidRDefault="003A1AA3" w:rsidP="000E4402">
            <w:pPr>
              <w:rPr>
                <w:rFonts w:ascii="Calibri" w:hAnsi="Calibri" w:cs="Calibri"/>
              </w:rPr>
            </w:pPr>
            <w:r w:rsidRPr="00372C6B">
              <w:rPr>
                <w:rFonts w:ascii="Calibri" w:hAnsi="Calibri" w:cs="Calibri"/>
              </w:rPr>
              <w:t>Explores real-time long-term voltage stability monitoring using machine learning and Voltage Stability Indices (VSIs); implemented on PhasorSmart® and tested with IEEE 14-bus system and PMUs on RTDS® simulator.</w:t>
            </w:r>
          </w:p>
        </w:tc>
        <w:tc>
          <w:tcPr>
            <w:tcW w:w="2250" w:type="dxa"/>
          </w:tcPr>
          <w:p w14:paraId="63911F37" w14:textId="77777777" w:rsidR="003A1AA3" w:rsidRPr="00372C6B" w:rsidRDefault="003A1AA3" w:rsidP="000E4402">
            <w:pPr>
              <w:rPr>
                <w:rFonts w:ascii="Calibri" w:hAnsi="Calibri" w:cs="Calibri"/>
              </w:rPr>
            </w:pPr>
            <w:r w:rsidRPr="00372C6B">
              <w:rPr>
                <w:rFonts w:ascii="Calibri" w:hAnsi="Calibri" w:cs="Calibri"/>
              </w:rPr>
              <w:t>https://cigre.ca/papers/2021/paper%20391.pdf</w:t>
            </w:r>
          </w:p>
        </w:tc>
      </w:tr>
      <w:tr w:rsidR="003A1AA3" w:rsidRPr="00372C6B" w14:paraId="7EDCFAFD" w14:textId="77777777" w:rsidTr="000E4402">
        <w:tc>
          <w:tcPr>
            <w:tcW w:w="625" w:type="dxa"/>
          </w:tcPr>
          <w:p w14:paraId="0838D7C1" w14:textId="77777777" w:rsidR="003A1AA3" w:rsidRPr="00372C6B" w:rsidRDefault="003A1AA3" w:rsidP="000E4402">
            <w:pPr>
              <w:rPr>
                <w:rFonts w:ascii="Calibri" w:hAnsi="Calibri" w:cs="Calibri"/>
              </w:rPr>
            </w:pPr>
            <w:r>
              <w:rPr>
                <w:rFonts w:ascii="Calibri" w:hAnsi="Calibri" w:cs="Calibri"/>
              </w:rPr>
              <w:t>2</w:t>
            </w:r>
          </w:p>
        </w:tc>
        <w:tc>
          <w:tcPr>
            <w:tcW w:w="2970" w:type="dxa"/>
          </w:tcPr>
          <w:p w14:paraId="07B9B725" w14:textId="77777777" w:rsidR="003A1AA3" w:rsidRPr="00372C6B" w:rsidRDefault="003A1AA3" w:rsidP="000E4402">
            <w:pPr>
              <w:rPr>
                <w:rFonts w:ascii="Calibri" w:hAnsi="Calibri" w:cs="Calibri"/>
              </w:rPr>
            </w:pPr>
            <w:r w:rsidRPr="00372C6B">
              <w:rPr>
                <w:rFonts w:ascii="Calibri" w:hAnsi="Calibri" w:cs="Calibri"/>
              </w:rPr>
              <w:t>Recommended Oscillation Analysis for Monitoring and Mitigation (NERC Synchronized Measurement Working Group)</w:t>
            </w:r>
          </w:p>
        </w:tc>
        <w:tc>
          <w:tcPr>
            <w:tcW w:w="1440" w:type="dxa"/>
          </w:tcPr>
          <w:p w14:paraId="7AB3CA79" w14:textId="77777777" w:rsidR="003A1AA3" w:rsidRPr="00372C6B" w:rsidRDefault="003A1AA3" w:rsidP="000E4402">
            <w:pPr>
              <w:rPr>
                <w:rFonts w:ascii="Calibri" w:hAnsi="Calibri" w:cs="Calibri"/>
              </w:rPr>
            </w:pPr>
            <w:r w:rsidRPr="00372C6B">
              <w:rPr>
                <w:rFonts w:ascii="Calibri" w:hAnsi="Calibri" w:cs="Calibri"/>
              </w:rPr>
              <w:t>Oscillation Monitoring</w:t>
            </w:r>
          </w:p>
        </w:tc>
        <w:tc>
          <w:tcPr>
            <w:tcW w:w="3060" w:type="dxa"/>
          </w:tcPr>
          <w:p w14:paraId="5E6B8176" w14:textId="77777777" w:rsidR="003A1AA3" w:rsidRPr="00372C6B" w:rsidRDefault="003A1AA3" w:rsidP="000E4402">
            <w:pPr>
              <w:rPr>
                <w:rFonts w:ascii="Calibri" w:hAnsi="Calibri" w:cs="Calibri"/>
              </w:rPr>
            </w:pPr>
            <w:r w:rsidRPr="00372C6B">
              <w:rPr>
                <w:rFonts w:ascii="Calibri" w:hAnsi="Calibri" w:cs="Calibri"/>
              </w:rPr>
              <w:t>Provides recommended practices for monitoring and mitigating inter-area oscillations using synchrophasor data.</w:t>
            </w:r>
          </w:p>
        </w:tc>
        <w:tc>
          <w:tcPr>
            <w:tcW w:w="2250" w:type="dxa"/>
          </w:tcPr>
          <w:p w14:paraId="5D526F4C" w14:textId="77777777" w:rsidR="003A1AA3" w:rsidRPr="00372C6B" w:rsidRDefault="003A1AA3" w:rsidP="000E4402">
            <w:pPr>
              <w:rPr>
                <w:rFonts w:ascii="Calibri" w:hAnsi="Calibri" w:cs="Calibri"/>
              </w:rPr>
            </w:pPr>
            <w:r w:rsidRPr="00372C6B">
              <w:rPr>
                <w:rFonts w:ascii="Calibri" w:hAnsi="Calibri" w:cs="Calibri"/>
              </w:rPr>
              <w:t>https://www.nerc.com/globalassets/who-we-are/standing-committees/rstc/smwg/oscillation_analysis_for_monitoring_and_mitigation_trd.pdf</w:t>
            </w:r>
          </w:p>
          <w:p w14:paraId="3E8491DF" w14:textId="77777777" w:rsidR="003A1AA3" w:rsidRPr="00372C6B" w:rsidRDefault="003A1AA3" w:rsidP="000E4402">
            <w:pPr>
              <w:rPr>
                <w:rFonts w:ascii="Calibri" w:hAnsi="Calibri" w:cs="Calibri"/>
              </w:rPr>
            </w:pPr>
          </w:p>
        </w:tc>
      </w:tr>
      <w:tr w:rsidR="003A1AA3" w:rsidRPr="00372C6B" w14:paraId="1D59A995" w14:textId="77777777" w:rsidTr="000E4402">
        <w:tc>
          <w:tcPr>
            <w:tcW w:w="625" w:type="dxa"/>
          </w:tcPr>
          <w:p w14:paraId="7E95BA16" w14:textId="77777777" w:rsidR="003A1AA3" w:rsidRPr="00372C6B" w:rsidRDefault="003A1AA3" w:rsidP="000E4402">
            <w:pPr>
              <w:rPr>
                <w:rFonts w:ascii="Calibri" w:hAnsi="Calibri" w:cs="Calibri"/>
              </w:rPr>
            </w:pPr>
            <w:r>
              <w:rPr>
                <w:rFonts w:ascii="Calibri" w:hAnsi="Calibri" w:cs="Calibri"/>
              </w:rPr>
              <w:t>3</w:t>
            </w:r>
          </w:p>
        </w:tc>
        <w:tc>
          <w:tcPr>
            <w:tcW w:w="2970" w:type="dxa"/>
          </w:tcPr>
          <w:p w14:paraId="5110D9B3" w14:textId="77777777" w:rsidR="003A1AA3" w:rsidRPr="00372C6B" w:rsidRDefault="003A1AA3" w:rsidP="000E4402">
            <w:pPr>
              <w:rPr>
                <w:rFonts w:ascii="Calibri" w:hAnsi="Calibri" w:cs="Calibri"/>
              </w:rPr>
            </w:pPr>
            <w:r w:rsidRPr="00372C6B">
              <w:rPr>
                <w:rFonts w:ascii="Calibri" w:hAnsi="Calibri" w:cs="Calibri"/>
              </w:rPr>
              <w:t>Interconnection Oscillation Analysis (NERC Reliability Assessment)</w:t>
            </w:r>
          </w:p>
        </w:tc>
        <w:tc>
          <w:tcPr>
            <w:tcW w:w="1440" w:type="dxa"/>
          </w:tcPr>
          <w:p w14:paraId="0E7C7DAC" w14:textId="77777777" w:rsidR="003A1AA3" w:rsidRPr="00372C6B" w:rsidRDefault="003A1AA3" w:rsidP="000E4402">
            <w:pPr>
              <w:rPr>
                <w:rFonts w:ascii="Calibri" w:hAnsi="Calibri" w:cs="Calibri"/>
              </w:rPr>
            </w:pPr>
            <w:r w:rsidRPr="00372C6B">
              <w:rPr>
                <w:rFonts w:ascii="Calibri" w:hAnsi="Calibri" w:cs="Calibri"/>
              </w:rPr>
              <w:t>Oscillation Behavior</w:t>
            </w:r>
          </w:p>
        </w:tc>
        <w:tc>
          <w:tcPr>
            <w:tcW w:w="3060" w:type="dxa"/>
          </w:tcPr>
          <w:p w14:paraId="58EDFA90" w14:textId="77777777" w:rsidR="003A1AA3" w:rsidRPr="00372C6B" w:rsidRDefault="003A1AA3" w:rsidP="000E4402">
            <w:pPr>
              <w:rPr>
                <w:rFonts w:ascii="Calibri" w:hAnsi="Calibri" w:cs="Calibri"/>
              </w:rPr>
            </w:pPr>
            <w:r w:rsidRPr="00372C6B">
              <w:rPr>
                <w:rFonts w:ascii="Calibri" w:hAnsi="Calibri" w:cs="Calibri"/>
              </w:rPr>
              <w:t>Informs on mode shapes and behaviors across interconnections; does not provide mitigation strategies.</w:t>
            </w:r>
          </w:p>
        </w:tc>
        <w:tc>
          <w:tcPr>
            <w:tcW w:w="2250" w:type="dxa"/>
          </w:tcPr>
          <w:p w14:paraId="3CB2404D" w14:textId="77777777" w:rsidR="003A1AA3" w:rsidRPr="00372C6B" w:rsidRDefault="003A1AA3" w:rsidP="000E4402">
            <w:pPr>
              <w:rPr>
                <w:rFonts w:ascii="Calibri" w:hAnsi="Calibri" w:cs="Calibri"/>
              </w:rPr>
            </w:pPr>
            <w:r w:rsidRPr="00372C6B">
              <w:rPr>
                <w:rFonts w:ascii="Calibri" w:hAnsi="Calibri" w:cs="Calibri"/>
              </w:rPr>
              <w:t>https://www.ercot.com/files/docs/2019/10/02/Interconnection_Oscillation_Analysis_NERC.pdf</w:t>
            </w:r>
          </w:p>
        </w:tc>
      </w:tr>
      <w:tr w:rsidR="003A1AA3" w:rsidRPr="00372C6B" w14:paraId="75FFCCFA" w14:textId="77777777" w:rsidTr="000E4402">
        <w:tc>
          <w:tcPr>
            <w:tcW w:w="625" w:type="dxa"/>
          </w:tcPr>
          <w:p w14:paraId="13CB8A47" w14:textId="77777777" w:rsidR="003A1AA3" w:rsidRPr="00372C6B" w:rsidRDefault="003A1AA3" w:rsidP="000E4402">
            <w:pPr>
              <w:rPr>
                <w:rFonts w:ascii="Calibri" w:hAnsi="Calibri" w:cs="Calibri"/>
              </w:rPr>
            </w:pPr>
            <w:r>
              <w:rPr>
                <w:rFonts w:ascii="Calibri" w:hAnsi="Calibri" w:cs="Calibri"/>
              </w:rPr>
              <w:t>4</w:t>
            </w:r>
          </w:p>
        </w:tc>
        <w:tc>
          <w:tcPr>
            <w:tcW w:w="2970" w:type="dxa"/>
          </w:tcPr>
          <w:p w14:paraId="028494C5" w14:textId="77777777" w:rsidR="003A1AA3" w:rsidRPr="00372C6B" w:rsidRDefault="003A1AA3" w:rsidP="000E4402">
            <w:pPr>
              <w:rPr>
                <w:rFonts w:ascii="Calibri" w:hAnsi="Calibri" w:cs="Calibri"/>
              </w:rPr>
            </w:pPr>
            <w:r w:rsidRPr="00372C6B">
              <w:rPr>
                <w:rFonts w:ascii="Calibri" w:hAnsi="Calibri" w:cs="Calibri"/>
              </w:rPr>
              <w:t>Real-time Low-Frequency Oscillations Monitoring (Journal of Renewable and Sustainable Energy)</w:t>
            </w:r>
          </w:p>
        </w:tc>
        <w:tc>
          <w:tcPr>
            <w:tcW w:w="1440" w:type="dxa"/>
          </w:tcPr>
          <w:p w14:paraId="334C0E47" w14:textId="77777777" w:rsidR="003A1AA3" w:rsidRPr="00372C6B" w:rsidRDefault="003A1AA3" w:rsidP="000E4402">
            <w:pPr>
              <w:rPr>
                <w:rFonts w:ascii="Calibri" w:hAnsi="Calibri" w:cs="Calibri"/>
              </w:rPr>
            </w:pPr>
            <w:r w:rsidRPr="00372C6B">
              <w:rPr>
                <w:rFonts w:ascii="Calibri" w:hAnsi="Calibri" w:cs="Calibri"/>
              </w:rPr>
              <w:t>Oscillation Detection</w:t>
            </w:r>
          </w:p>
        </w:tc>
        <w:tc>
          <w:tcPr>
            <w:tcW w:w="3060" w:type="dxa"/>
          </w:tcPr>
          <w:p w14:paraId="07CC82EE" w14:textId="77777777" w:rsidR="003A1AA3" w:rsidRPr="00372C6B" w:rsidRDefault="003A1AA3" w:rsidP="000E4402">
            <w:pPr>
              <w:rPr>
                <w:rFonts w:ascii="Calibri" w:hAnsi="Calibri" w:cs="Calibri"/>
              </w:rPr>
            </w:pPr>
            <w:r w:rsidRPr="00372C6B">
              <w:rPr>
                <w:rFonts w:ascii="Calibri" w:hAnsi="Calibri" w:cs="Calibri"/>
              </w:rPr>
              <w:t>Discusses algorithms for detecting and tracking oscillations using PMU data in real time.</w:t>
            </w:r>
          </w:p>
        </w:tc>
        <w:tc>
          <w:tcPr>
            <w:tcW w:w="2250" w:type="dxa"/>
          </w:tcPr>
          <w:p w14:paraId="4BC7935E" w14:textId="77777777" w:rsidR="003A1AA3" w:rsidRPr="00372C6B" w:rsidRDefault="003A1AA3" w:rsidP="000E4402">
            <w:pPr>
              <w:rPr>
                <w:rFonts w:ascii="Calibri" w:hAnsi="Calibri" w:cs="Calibri"/>
              </w:rPr>
            </w:pPr>
            <w:r w:rsidRPr="00372C6B">
              <w:rPr>
                <w:rFonts w:ascii="Calibri" w:hAnsi="Calibri" w:cs="Calibri"/>
              </w:rPr>
              <w:t>https://tsapps.nist.gov/publication/get_pdf.cfm?pub_id=932787</w:t>
            </w:r>
          </w:p>
          <w:p w14:paraId="426D4BC0" w14:textId="77777777" w:rsidR="003A1AA3" w:rsidRPr="00372C6B" w:rsidRDefault="003A1AA3" w:rsidP="000E4402">
            <w:pPr>
              <w:rPr>
                <w:rFonts w:ascii="Calibri" w:hAnsi="Calibri" w:cs="Calibri"/>
              </w:rPr>
            </w:pPr>
          </w:p>
        </w:tc>
      </w:tr>
      <w:tr w:rsidR="003A1AA3" w:rsidRPr="00372C6B" w14:paraId="5FC16623" w14:textId="77777777" w:rsidTr="000E4402">
        <w:tc>
          <w:tcPr>
            <w:tcW w:w="625" w:type="dxa"/>
          </w:tcPr>
          <w:p w14:paraId="716796EB" w14:textId="77777777" w:rsidR="003A1AA3" w:rsidRPr="00372C6B" w:rsidRDefault="003A1AA3" w:rsidP="000E4402">
            <w:pPr>
              <w:rPr>
                <w:rFonts w:ascii="Calibri" w:hAnsi="Calibri" w:cs="Calibri"/>
              </w:rPr>
            </w:pPr>
            <w:r>
              <w:rPr>
                <w:rFonts w:ascii="Calibri" w:hAnsi="Calibri" w:cs="Calibri"/>
              </w:rPr>
              <w:t>5</w:t>
            </w:r>
          </w:p>
        </w:tc>
        <w:tc>
          <w:tcPr>
            <w:tcW w:w="2970" w:type="dxa"/>
          </w:tcPr>
          <w:p w14:paraId="2E159834" w14:textId="77777777" w:rsidR="003A1AA3" w:rsidRPr="00372C6B" w:rsidRDefault="003A1AA3" w:rsidP="000E4402">
            <w:pPr>
              <w:rPr>
                <w:rFonts w:ascii="Calibri" w:hAnsi="Calibri" w:cs="Calibri"/>
              </w:rPr>
            </w:pPr>
            <w:r w:rsidRPr="00372C6B">
              <w:rPr>
                <w:rFonts w:ascii="Calibri" w:hAnsi="Calibri" w:cs="Calibri"/>
              </w:rPr>
              <w:t>Real-time Stability Monitoring Using Instantaneous Lyapunov Exponent and Malthusian Parameter (International Journal of Control, Automation and Systems)</w:t>
            </w:r>
          </w:p>
        </w:tc>
        <w:tc>
          <w:tcPr>
            <w:tcW w:w="1440" w:type="dxa"/>
          </w:tcPr>
          <w:p w14:paraId="0D7CCCD9" w14:textId="77777777" w:rsidR="003A1AA3" w:rsidRPr="00372C6B" w:rsidRDefault="003A1AA3" w:rsidP="000E4402">
            <w:pPr>
              <w:rPr>
                <w:rFonts w:ascii="Calibri" w:hAnsi="Calibri" w:cs="Calibri"/>
              </w:rPr>
            </w:pPr>
            <w:r w:rsidRPr="00372C6B">
              <w:rPr>
                <w:rFonts w:ascii="Calibri" w:hAnsi="Calibri" w:cs="Calibri"/>
              </w:rPr>
              <w:t>Advanced Stability Metrics</w:t>
            </w:r>
          </w:p>
        </w:tc>
        <w:tc>
          <w:tcPr>
            <w:tcW w:w="3060" w:type="dxa"/>
          </w:tcPr>
          <w:p w14:paraId="07CB5F07" w14:textId="77777777" w:rsidR="003A1AA3" w:rsidRPr="00372C6B" w:rsidRDefault="003A1AA3" w:rsidP="000E4402">
            <w:pPr>
              <w:rPr>
                <w:rFonts w:ascii="Calibri" w:hAnsi="Calibri" w:cs="Calibri"/>
              </w:rPr>
            </w:pPr>
            <w:r w:rsidRPr="00372C6B">
              <w:rPr>
                <w:rFonts w:ascii="Calibri" w:hAnsi="Calibri" w:cs="Calibri"/>
              </w:rPr>
              <w:t>Introduces advanced real-time stability assessment techniques beyond traditional methods.</w:t>
            </w:r>
          </w:p>
        </w:tc>
        <w:tc>
          <w:tcPr>
            <w:tcW w:w="2250" w:type="dxa"/>
          </w:tcPr>
          <w:p w14:paraId="200939E1" w14:textId="77777777" w:rsidR="003A1AA3" w:rsidRPr="00372C6B" w:rsidRDefault="003A1AA3" w:rsidP="000E4402">
            <w:pPr>
              <w:rPr>
                <w:rFonts w:ascii="Calibri" w:hAnsi="Calibri" w:cs="Calibri"/>
              </w:rPr>
            </w:pPr>
            <w:r w:rsidRPr="00372C6B">
              <w:rPr>
                <w:rFonts w:ascii="Calibri" w:hAnsi="Calibri" w:cs="Calibri"/>
              </w:rPr>
              <w:t>https://link.springer.com/article/10.1007/s12555-023-0323-9</w:t>
            </w:r>
          </w:p>
          <w:p w14:paraId="1CFE3845" w14:textId="77777777" w:rsidR="003A1AA3" w:rsidRPr="00372C6B" w:rsidRDefault="003A1AA3" w:rsidP="000E4402">
            <w:pPr>
              <w:rPr>
                <w:rFonts w:ascii="Calibri" w:hAnsi="Calibri" w:cs="Calibri"/>
              </w:rPr>
            </w:pPr>
          </w:p>
        </w:tc>
      </w:tr>
      <w:tr w:rsidR="003A1AA3" w:rsidRPr="00372C6B" w14:paraId="2FE19F63" w14:textId="77777777" w:rsidTr="000E4402">
        <w:tc>
          <w:tcPr>
            <w:tcW w:w="625" w:type="dxa"/>
          </w:tcPr>
          <w:p w14:paraId="197839F7" w14:textId="77777777" w:rsidR="003A1AA3" w:rsidRPr="00372C6B" w:rsidRDefault="003A1AA3" w:rsidP="000E4402">
            <w:pPr>
              <w:rPr>
                <w:rFonts w:ascii="Calibri" w:hAnsi="Calibri" w:cs="Calibri"/>
              </w:rPr>
            </w:pPr>
            <w:r>
              <w:rPr>
                <w:rFonts w:ascii="Calibri" w:hAnsi="Calibri" w:cs="Calibri"/>
              </w:rPr>
              <w:lastRenderedPageBreak/>
              <w:t>6</w:t>
            </w:r>
          </w:p>
        </w:tc>
        <w:tc>
          <w:tcPr>
            <w:tcW w:w="2970" w:type="dxa"/>
          </w:tcPr>
          <w:p w14:paraId="345465C3" w14:textId="77777777" w:rsidR="003A1AA3" w:rsidRPr="00372C6B" w:rsidRDefault="003A1AA3" w:rsidP="000E4402">
            <w:pPr>
              <w:rPr>
                <w:rFonts w:ascii="Calibri" w:hAnsi="Calibri" w:cs="Calibri"/>
              </w:rPr>
            </w:pPr>
            <w:r w:rsidRPr="00372C6B">
              <w:rPr>
                <w:rFonts w:ascii="Calibri" w:hAnsi="Calibri" w:cs="Calibri"/>
              </w:rPr>
              <w:t>Diagnosis and Mitigation of Observed Oscillations in IBR-Dominant Power Systems (ESIG)</w:t>
            </w:r>
          </w:p>
        </w:tc>
        <w:tc>
          <w:tcPr>
            <w:tcW w:w="1440" w:type="dxa"/>
          </w:tcPr>
          <w:p w14:paraId="24D0CA0D" w14:textId="77777777" w:rsidR="003A1AA3" w:rsidRPr="00372C6B" w:rsidRDefault="003A1AA3" w:rsidP="000E4402">
            <w:pPr>
              <w:rPr>
                <w:rFonts w:ascii="Calibri" w:hAnsi="Calibri" w:cs="Calibri"/>
              </w:rPr>
            </w:pPr>
            <w:r w:rsidRPr="00372C6B">
              <w:rPr>
                <w:rFonts w:ascii="Calibri" w:hAnsi="Calibri" w:cs="Calibri"/>
              </w:rPr>
              <w:t>IBR Oscillation Mitigation</w:t>
            </w:r>
          </w:p>
        </w:tc>
        <w:tc>
          <w:tcPr>
            <w:tcW w:w="3060" w:type="dxa"/>
          </w:tcPr>
          <w:p w14:paraId="78E410E3" w14:textId="77777777" w:rsidR="003A1AA3" w:rsidRPr="00372C6B" w:rsidRDefault="003A1AA3" w:rsidP="000E4402">
            <w:pPr>
              <w:rPr>
                <w:rFonts w:ascii="Calibri" w:hAnsi="Calibri" w:cs="Calibri"/>
              </w:rPr>
            </w:pPr>
            <w:r w:rsidRPr="00372C6B">
              <w:rPr>
                <w:rFonts w:ascii="Calibri" w:hAnsi="Calibri" w:cs="Calibri"/>
              </w:rPr>
              <w:t>Practical guide for diagnosing and mitigating oscillations in inverter-based resource grids; includes operator actions and tools.</w:t>
            </w:r>
          </w:p>
        </w:tc>
        <w:tc>
          <w:tcPr>
            <w:tcW w:w="2250" w:type="dxa"/>
          </w:tcPr>
          <w:p w14:paraId="6068CF32" w14:textId="77777777" w:rsidR="003A1AA3" w:rsidRPr="00372C6B" w:rsidRDefault="003A1AA3" w:rsidP="000E4402">
            <w:pPr>
              <w:rPr>
                <w:rFonts w:ascii="Calibri" w:hAnsi="Calibri" w:cs="Calibri"/>
              </w:rPr>
            </w:pPr>
            <w:r w:rsidRPr="00372C6B">
              <w:rPr>
                <w:rFonts w:ascii="Calibri" w:hAnsi="Calibri" w:cs="Calibri"/>
              </w:rPr>
              <w:t>https://www.esig.energy/wp-content/uploads/2024/08/ESIG-Oscillations-Guide-2024.pdf</w:t>
            </w:r>
          </w:p>
        </w:tc>
      </w:tr>
      <w:tr w:rsidR="003A1AA3" w:rsidRPr="00372C6B" w14:paraId="66A7E5A2" w14:textId="77777777" w:rsidTr="000E4402">
        <w:tc>
          <w:tcPr>
            <w:tcW w:w="625" w:type="dxa"/>
          </w:tcPr>
          <w:p w14:paraId="7DAC53DB" w14:textId="77777777" w:rsidR="003A1AA3" w:rsidRPr="00372C6B" w:rsidRDefault="003A1AA3" w:rsidP="000E4402">
            <w:pPr>
              <w:rPr>
                <w:rFonts w:ascii="Calibri" w:hAnsi="Calibri" w:cs="Calibri"/>
              </w:rPr>
            </w:pPr>
            <w:r>
              <w:rPr>
                <w:rFonts w:ascii="Calibri" w:hAnsi="Calibri" w:cs="Calibri"/>
              </w:rPr>
              <w:t>7</w:t>
            </w:r>
          </w:p>
        </w:tc>
        <w:tc>
          <w:tcPr>
            <w:tcW w:w="2970" w:type="dxa"/>
          </w:tcPr>
          <w:p w14:paraId="5719EFEB" w14:textId="77777777" w:rsidR="003A1AA3" w:rsidRPr="00372C6B" w:rsidRDefault="003A1AA3" w:rsidP="000E4402">
            <w:pPr>
              <w:rPr>
                <w:rFonts w:ascii="Calibri" w:hAnsi="Calibri" w:cs="Calibri"/>
              </w:rPr>
            </w:pPr>
            <w:r w:rsidRPr="00372C6B">
              <w:rPr>
                <w:rFonts w:ascii="Calibri" w:hAnsi="Calibri" w:cs="Calibri"/>
              </w:rPr>
              <w:t>System Operating Limit Definition and Exceedance Clarification (NERC)</w:t>
            </w:r>
          </w:p>
        </w:tc>
        <w:tc>
          <w:tcPr>
            <w:tcW w:w="1440" w:type="dxa"/>
          </w:tcPr>
          <w:p w14:paraId="1915F1DA" w14:textId="77777777" w:rsidR="003A1AA3" w:rsidRPr="00372C6B" w:rsidRDefault="003A1AA3" w:rsidP="000E4402">
            <w:pPr>
              <w:rPr>
                <w:rFonts w:ascii="Calibri" w:hAnsi="Calibri" w:cs="Calibri"/>
              </w:rPr>
            </w:pPr>
            <w:r w:rsidRPr="00372C6B">
              <w:rPr>
                <w:rFonts w:ascii="Calibri" w:hAnsi="Calibri" w:cs="Calibri"/>
              </w:rPr>
              <w:t>SOL Concept Clarification</w:t>
            </w:r>
          </w:p>
        </w:tc>
        <w:tc>
          <w:tcPr>
            <w:tcW w:w="3060" w:type="dxa"/>
          </w:tcPr>
          <w:p w14:paraId="79EBE5C0" w14:textId="77777777" w:rsidR="003A1AA3" w:rsidRPr="00372C6B" w:rsidRDefault="003A1AA3" w:rsidP="000E4402">
            <w:pPr>
              <w:rPr>
                <w:rFonts w:ascii="Calibri" w:hAnsi="Calibri" w:cs="Calibri"/>
              </w:rPr>
            </w:pPr>
            <w:r w:rsidRPr="00372C6B">
              <w:rPr>
                <w:rFonts w:ascii="Calibri" w:hAnsi="Calibri" w:cs="Calibri"/>
              </w:rPr>
              <w:t>Implementation guidance/whitepaper clarifies SOL concept, including establishing SOLs, exceeding SOLs, and implementing Operating Plans to mitigate exceedances.</w:t>
            </w:r>
          </w:p>
        </w:tc>
        <w:tc>
          <w:tcPr>
            <w:tcW w:w="2250" w:type="dxa"/>
          </w:tcPr>
          <w:p w14:paraId="69D9E15F" w14:textId="77777777" w:rsidR="003A1AA3" w:rsidRPr="00372C6B" w:rsidRDefault="003A1AA3" w:rsidP="000E4402">
            <w:pPr>
              <w:rPr>
                <w:rFonts w:ascii="Calibri" w:hAnsi="Calibri" w:cs="Calibri"/>
              </w:rPr>
            </w:pPr>
            <w:r w:rsidRPr="00372C6B">
              <w:rPr>
                <w:rFonts w:ascii="Calibri" w:hAnsi="Calibri" w:cs="Calibri"/>
              </w:rPr>
              <w:t>https://www.nerc.com/globalassets/programs/compliance/compliance-guidance/implementation/system_operating_limit_definition_and_exceedance_clarification_endorsed.pdf</w:t>
            </w:r>
          </w:p>
        </w:tc>
      </w:tr>
      <w:tr w:rsidR="003A1AA3" w:rsidRPr="00372C6B" w14:paraId="6378F1B8" w14:textId="77777777" w:rsidTr="000E4402">
        <w:tc>
          <w:tcPr>
            <w:tcW w:w="625" w:type="dxa"/>
          </w:tcPr>
          <w:p w14:paraId="522155D0" w14:textId="77777777" w:rsidR="003A1AA3" w:rsidRPr="00372C6B" w:rsidRDefault="003A1AA3" w:rsidP="000E4402">
            <w:pPr>
              <w:rPr>
                <w:rFonts w:ascii="Calibri" w:hAnsi="Calibri" w:cs="Calibri"/>
              </w:rPr>
            </w:pPr>
            <w:r>
              <w:rPr>
                <w:rFonts w:ascii="Calibri" w:hAnsi="Calibri" w:cs="Calibri"/>
              </w:rPr>
              <w:t>8</w:t>
            </w:r>
          </w:p>
        </w:tc>
        <w:tc>
          <w:tcPr>
            <w:tcW w:w="2970" w:type="dxa"/>
          </w:tcPr>
          <w:p w14:paraId="63E5DDDC" w14:textId="77777777" w:rsidR="003A1AA3" w:rsidRPr="00372C6B" w:rsidRDefault="003A1AA3" w:rsidP="000E4402">
            <w:pPr>
              <w:rPr>
                <w:rFonts w:ascii="Calibri" w:hAnsi="Calibri" w:cs="Calibri"/>
              </w:rPr>
            </w:pPr>
            <w:r w:rsidRPr="00372C6B">
              <w:rPr>
                <w:rFonts w:ascii="Calibri" w:hAnsi="Calibri" w:cs="Calibri"/>
              </w:rPr>
              <w:t>Evaluation of Voltage Stability Assessment Methodologies in Modern Power Systems with Increased Penetration of IBRs (IEEE PES Technical Report TR126)</w:t>
            </w:r>
          </w:p>
        </w:tc>
        <w:tc>
          <w:tcPr>
            <w:tcW w:w="1440" w:type="dxa"/>
          </w:tcPr>
          <w:p w14:paraId="047D1DD6" w14:textId="77777777" w:rsidR="003A1AA3" w:rsidRPr="00372C6B" w:rsidRDefault="003A1AA3" w:rsidP="000E4402">
            <w:pPr>
              <w:rPr>
                <w:rFonts w:ascii="Calibri" w:hAnsi="Calibri" w:cs="Calibri"/>
              </w:rPr>
            </w:pPr>
            <w:r w:rsidRPr="00372C6B">
              <w:rPr>
                <w:rFonts w:ascii="Calibri" w:hAnsi="Calibri" w:cs="Calibri"/>
              </w:rPr>
              <w:t>Voltage Stability Assessment</w:t>
            </w:r>
          </w:p>
        </w:tc>
        <w:tc>
          <w:tcPr>
            <w:tcW w:w="3060" w:type="dxa"/>
          </w:tcPr>
          <w:p w14:paraId="4EEE5735" w14:textId="77777777" w:rsidR="003A1AA3" w:rsidRPr="00372C6B" w:rsidRDefault="003A1AA3" w:rsidP="000E4402">
            <w:pPr>
              <w:rPr>
                <w:rFonts w:ascii="Calibri" w:hAnsi="Calibri" w:cs="Calibri"/>
              </w:rPr>
            </w:pPr>
            <w:r w:rsidRPr="00372C6B">
              <w:rPr>
                <w:rFonts w:ascii="Calibri" w:hAnsi="Calibri" w:cs="Calibri"/>
              </w:rPr>
              <w:t>Technical report evaluates methodologies for voltage stability assessment under high IBR penetration.</w:t>
            </w:r>
          </w:p>
        </w:tc>
        <w:tc>
          <w:tcPr>
            <w:tcW w:w="2250" w:type="dxa"/>
          </w:tcPr>
          <w:p w14:paraId="28947C80" w14:textId="77777777" w:rsidR="003A1AA3" w:rsidRPr="00372C6B" w:rsidRDefault="003A1AA3" w:rsidP="000E4402">
            <w:pPr>
              <w:rPr>
                <w:rFonts w:ascii="Calibri" w:hAnsi="Calibri" w:cs="Calibri"/>
              </w:rPr>
            </w:pPr>
            <w:r w:rsidRPr="00372C6B">
              <w:rPr>
                <w:rFonts w:ascii="Calibri" w:hAnsi="Calibri" w:cs="Calibri"/>
              </w:rPr>
              <w:t>https://resourcecenter.ieee-pes.org/publications/technical-reports/pes_tr_126_psdp_110724</w:t>
            </w:r>
          </w:p>
        </w:tc>
      </w:tr>
      <w:tr w:rsidR="003A1AA3" w:rsidRPr="00372C6B" w14:paraId="08ECED63" w14:textId="77777777" w:rsidTr="000E4402">
        <w:tc>
          <w:tcPr>
            <w:tcW w:w="625" w:type="dxa"/>
          </w:tcPr>
          <w:p w14:paraId="31DE1B07" w14:textId="77777777" w:rsidR="003A1AA3" w:rsidRPr="00372C6B" w:rsidRDefault="003A1AA3" w:rsidP="000E4402">
            <w:pPr>
              <w:rPr>
                <w:rFonts w:ascii="Calibri" w:hAnsi="Calibri" w:cs="Calibri"/>
              </w:rPr>
            </w:pPr>
            <w:r>
              <w:rPr>
                <w:rFonts w:ascii="Calibri" w:hAnsi="Calibri" w:cs="Calibri"/>
              </w:rPr>
              <w:t>9</w:t>
            </w:r>
          </w:p>
        </w:tc>
        <w:tc>
          <w:tcPr>
            <w:tcW w:w="2970" w:type="dxa"/>
          </w:tcPr>
          <w:p w14:paraId="30BFA6B3" w14:textId="77777777" w:rsidR="003A1AA3" w:rsidRPr="00372C6B" w:rsidRDefault="003A1AA3" w:rsidP="000E4402">
            <w:pPr>
              <w:rPr>
                <w:rFonts w:ascii="Calibri" w:hAnsi="Calibri" w:cs="Calibri"/>
              </w:rPr>
            </w:pPr>
            <w:r w:rsidRPr="00372C6B">
              <w:rPr>
                <w:rFonts w:ascii="Calibri" w:hAnsi="Calibri" w:cs="Calibri"/>
              </w:rPr>
              <w:t>Using Synchrophasor Data for Voltage Stability Assessment (NASPI Control Room Solutions Task Team Paper)</w:t>
            </w:r>
          </w:p>
        </w:tc>
        <w:tc>
          <w:tcPr>
            <w:tcW w:w="1440" w:type="dxa"/>
          </w:tcPr>
          <w:p w14:paraId="436ADB9F" w14:textId="77777777" w:rsidR="003A1AA3" w:rsidRPr="00372C6B" w:rsidRDefault="003A1AA3" w:rsidP="000E4402">
            <w:pPr>
              <w:rPr>
                <w:rFonts w:ascii="Calibri" w:hAnsi="Calibri" w:cs="Calibri"/>
              </w:rPr>
            </w:pPr>
            <w:r w:rsidRPr="00372C6B">
              <w:rPr>
                <w:rFonts w:ascii="Calibri" w:hAnsi="Calibri" w:cs="Calibri"/>
              </w:rPr>
              <w:t>Voltage Stability Assessment</w:t>
            </w:r>
          </w:p>
        </w:tc>
        <w:tc>
          <w:tcPr>
            <w:tcW w:w="3060" w:type="dxa"/>
          </w:tcPr>
          <w:p w14:paraId="75783E3F" w14:textId="77777777" w:rsidR="003A1AA3" w:rsidRPr="00372C6B" w:rsidRDefault="003A1AA3" w:rsidP="000E4402">
            <w:pPr>
              <w:rPr>
                <w:rFonts w:ascii="Calibri" w:hAnsi="Calibri" w:cs="Calibri"/>
              </w:rPr>
            </w:pPr>
            <w:r w:rsidRPr="00372C6B">
              <w:rPr>
                <w:rFonts w:ascii="Calibri" w:hAnsi="Calibri" w:cs="Calibri"/>
              </w:rPr>
              <w:t>White paper that describes use of  synchrophasor data to detect voltage stability issues, based on the results of the NASPI Technical Workshop, October 22, 2014.</w:t>
            </w:r>
          </w:p>
        </w:tc>
        <w:tc>
          <w:tcPr>
            <w:tcW w:w="2250" w:type="dxa"/>
          </w:tcPr>
          <w:p w14:paraId="20F8EEC6" w14:textId="77777777" w:rsidR="003A1AA3" w:rsidRPr="00372C6B" w:rsidRDefault="003A1AA3" w:rsidP="000E4402">
            <w:pPr>
              <w:rPr>
                <w:rFonts w:ascii="Calibri" w:hAnsi="Calibri" w:cs="Calibri"/>
              </w:rPr>
            </w:pPr>
            <w:r w:rsidRPr="00372C6B">
              <w:rPr>
                <w:rFonts w:ascii="Calibri" w:hAnsi="Calibri" w:cs="Calibri"/>
              </w:rPr>
              <w:t>https://www.naspi.org/sites/default/files/reference_documents/7.pdf</w:t>
            </w:r>
          </w:p>
        </w:tc>
      </w:tr>
      <w:tr w:rsidR="003A1AA3" w:rsidRPr="00372C6B" w14:paraId="115370B4" w14:textId="77777777" w:rsidTr="000E4402">
        <w:tc>
          <w:tcPr>
            <w:tcW w:w="625" w:type="dxa"/>
          </w:tcPr>
          <w:p w14:paraId="045B9F13" w14:textId="77777777" w:rsidR="003A1AA3" w:rsidRPr="00372C6B" w:rsidRDefault="003A1AA3" w:rsidP="000E4402">
            <w:pPr>
              <w:rPr>
                <w:rFonts w:ascii="Calibri" w:hAnsi="Calibri" w:cs="Calibri"/>
              </w:rPr>
            </w:pPr>
            <w:r>
              <w:rPr>
                <w:rFonts w:ascii="Calibri" w:hAnsi="Calibri" w:cs="Calibri"/>
              </w:rPr>
              <w:t>10</w:t>
            </w:r>
          </w:p>
        </w:tc>
        <w:tc>
          <w:tcPr>
            <w:tcW w:w="2970" w:type="dxa"/>
          </w:tcPr>
          <w:p w14:paraId="49F2408B" w14:textId="77777777" w:rsidR="003A1AA3" w:rsidRPr="00372C6B" w:rsidRDefault="003A1AA3" w:rsidP="000E4402">
            <w:pPr>
              <w:rPr>
                <w:rFonts w:ascii="Calibri" w:hAnsi="Calibri" w:cs="Calibri"/>
              </w:rPr>
            </w:pPr>
            <w:r w:rsidRPr="00372C6B">
              <w:rPr>
                <w:rFonts w:ascii="Calibri" w:hAnsi="Calibri" w:cs="Calibri"/>
              </w:rPr>
              <w:t>Use of Voltage Stability Assessment and Transient Stability Assessment Tools in Grid Operations (Springer)</w:t>
            </w:r>
          </w:p>
        </w:tc>
        <w:tc>
          <w:tcPr>
            <w:tcW w:w="1440" w:type="dxa"/>
          </w:tcPr>
          <w:p w14:paraId="6DA2E784" w14:textId="77777777" w:rsidR="003A1AA3" w:rsidRPr="00372C6B" w:rsidRDefault="003A1AA3" w:rsidP="000E4402">
            <w:pPr>
              <w:rPr>
                <w:rFonts w:ascii="Calibri" w:hAnsi="Calibri" w:cs="Calibri"/>
              </w:rPr>
            </w:pPr>
            <w:r w:rsidRPr="00372C6B">
              <w:rPr>
                <w:rFonts w:ascii="Calibri" w:hAnsi="Calibri" w:cs="Calibri"/>
              </w:rPr>
              <w:t>Voltage and Transient Stability Assessment: Control Room Applications</w:t>
            </w:r>
          </w:p>
        </w:tc>
        <w:tc>
          <w:tcPr>
            <w:tcW w:w="3060" w:type="dxa"/>
          </w:tcPr>
          <w:p w14:paraId="1D9896AF" w14:textId="77777777" w:rsidR="003A1AA3" w:rsidRPr="00372C6B" w:rsidRDefault="003A1AA3" w:rsidP="000E4402">
            <w:pPr>
              <w:rPr>
                <w:rFonts w:ascii="Calibri" w:hAnsi="Calibri" w:cs="Calibri"/>
              </w:rPr>
            </w:pPr>
            <w:r w:rsidRPr="00372C6B">
              <w:rPr>
                <w:rFonts w:ascii="Calibri" w:hAnsi="Calibri" w:cs="Calibri"/>
              </w:rPr>
              <w:t>Describes real-world implementations, experience, and lessons learned by utilities and ISOs world-wide on deploying and using real-time voltage and transient stability assessments.</w:t>
            </w:r>
          </w:p>
        </w:tc>
        <w:tc>
          <w:tcPr>
            <w:tcW w:w="2250" w:type="dxa"/>
          </w:tcPr>
          <w:p w14:paraId="01D9886D" w14:textId="77777777" w:rsidR="003A1AA3" w:rsidRPr="00372C6B" w:rsidRDefault="003A1AA3" w:rsidP="000E4402">
            <w:pPr>
              <w:rPr>
                <w:rFonts w:ascii="Calibri" w:hAnsi="Calibri" w:cs="Calibri"/>
              </w:rPr>
            </w:pPr>
            <w:r w:rsidRPr="00372C6B">
              <w:rPr>
                <w:rFonts w:ascii="Calibri" w:hAnsi="Calibri" w:cs="Calibri"/>
              </w:rPr>
              <w:t>https://link.springer.com/book/10.1007/978-3-030-67482-3</w:t>
            </w:r>
          </w:p>
        </w:tc>
      </w:tr>
      <w:tr w:rsidR="003A1AA3" w:rsidRPr="00372C6B" w14:paraId="1732089D" w14:textId="77777777" w:rsidTr="000E4402">
        <w:tc>
          <w:tcPr>
            <w:tcW w:w="625" w:type="dxa"/>
          </w:tcPr>
          <w:p w14:paraId="49175839" w14:textId="77777777" w:rsidR="003A1AA3" w:rsidRPr="00372C6B" w:rsidRDefault="003A1AA3" w:rsidP="000E4402">
            <w:pPr>
              <w:rPr>
                <w:rFonts w:ascii="Calibri" w:hAnsi="Calibri" w:cs="Calibri"/>
              </w:rPr>
            </w:pPr>
            <w:r>
              <w:rPr>
                <w:rFonts w:ascii="Calibri" w:hAnsi="Calibri" w:cs="Calibri"/>
              </w:rPr>
              <w:t>11</w:t>
            </w:r>
          </w:p>
        </w:tc>
        <w:tc>
          <w:tcPr>
            <w:tcW w:w="2970" w:type="dxa"/>
          </w:tcPr>
          <w:p w14:paraId="1FA06158" w14:textId="77777777" w:rsidR="003A1AA3" w:rsidRPr="00372C6B" w:rsidRDefault="003A1AA3" w:rsidP="000E4402">
            <w:pPr>
              <w:rPr>
                <w:rFonts w:ascii="Calibri" w:hAnsi="Calibri" w:cs="Calibri"/>
              </w:rPr>
            </w:pPr>
            <w:r w:rsidRPr="00372C6B">
              <w:rPr>
                <w:rFonts w:ascii="Calibri" w:hAnsi="Calibri" w:cs="Calibri"/>
              </w:rPr>
              <w:t>A Review of Power System Planning and Operational Models for Flexibility Assessment (NREL)</w:t>
            </w:r>
          </w:p>
        </w:tc>
        <w:tc>
          <w:tcPr>
            <w:tcW w:w="1440" w:type="dxa"/>
          </w:tcPr>
          <w:p w14:paraId="66C33041" w14:textId="77777777" w:rsidR="003A1AA3" w:rsidRPr="00372C6B" w:rsidRDefault="003A1AA3" w:rsidP="000E4402">
            <w:pPr>
              <w:rPr>
                <w:rFonts w:ascii="Calibri" w:hAnsi="Calibri" w:cs="Calibri"/>
              </w:rPr>
            </w:pPr>
            <w:r w:rsidRPr="00372C6B">
              <w:rPr>
                <w:rFonts w:ascii="Calibri" w:hAnsi="Calibri" w:cs="Calibri"/>
              </w:rPr>
              <w:t>Flexibility and Stability Metrics</w:t>
            </w:r>
          </w:p>
        </w:tc>
        <w:tc>
          <w:tcPr>
            <w:tcW w:w="3060" w:type="dxa"/>
          </w:tcPr>
          <w:p w14:paraId="691F0BCC" w14:textId="77777777" w:rsidR="003A1AA3" w:rsidRPr="00372C6B" w:rsidRDefault="003A1AA3" w:rsidP="000E4402">
            <w:pPr>
              <w:rPr>
                <w:rFonts w:ascii="Calibri" w:hAnsi="Calibri" w:cs="Calibri"/>
              </w:rPr>
            </w:pPr>
            <w:r w:rsidRPr="00372C6B">
              <w:rPr>
                <w:rFonts w:ascii="Calibri" w:hAnsi="Calibri" w:cs="Calibri"/>
              </w:rPr>
              <w:t>Comprehensive review of planning and operational models with emphasis on flexibility and stability metrics.</w:t>
            </w:r>
          </w:p>
        </w:tc>
        <w:tc>
          <w:tcPr>
            <w:tcW w:w="2250" w:type="dxa"/>
          </w:tcPr>
          <w:p w14:paraId="6714774F" w14:textId="77777777" w:rsidR="003A1AA3" w:rsidRPr="00372C6B" w:rsidRDefault="003A1AA3" w:rsidP="000E4402">
            <w:pPr>
              <w:rPr>
                <w:rFonts w:ascii="Calibri" w:hAnsi="Calibri" w:cs="Calibri"/>
              </w:rPr>
            </w:pPr>
            <w:r w:rsidRPr="00372C6B">
              <w:rPr>
                <w:rFonts w:ascii="Calibri" w:hAnsi="Calibri" w:cs="Calibri"/>
              </w:rPr>
              <w:t>https://research-hub.nrel.gov/en/publications/a-review-of-power-system-planning-and-</w:t>
            </w:r>
            <w:r w:rsidRPr="00372C6B">
              <w:rPr>
                <w:rFonts w:ascii="Calibri" w:hAnsi="Calibri" w:cs="Calibri"/>
              </w:rPr>
              <w:lastRenderedPageBreak/>
              <w:t>operational-models-for-flex-4/</w:t>
            </w:r>
          </w:p>
        </w:tc>
      </w:tr>
      <w:tr w:rsidR="003A1AA3" w:rsidRPr="00372C6B" w14:paraId="55675376" w14:textId="77777777" w:rsidTr="000E4402">
        <w:tc>
          <w:tcPr>
            <w:tcW w:w="625" w:type="dxa"/>
          </w:tcPr>
          <w:p w14:paraId="75812CA0" w14:textId="77777777" w:rsidR="003A1AA3" w:rsidRPr="00372C6B" w:rsidRDefault="003A1AA3" w:rsidP="000E4402">
            <w:pPr>
              <w:rPr>
                <w:rFonts w:ascii="Calibri" w:hAnsi="Calibri" w:cs="Calibri"/>
              </w:rPr>
            </w:pPr>
            <w:r>
              <w:rPr>
                <w:rFonts w:ascii="Calibri" w:hAnsi="Calibri" w:cs="Calibri"/>
              </w:rPr>
              <w:lastRenderedPageBreak/>
              <w:t>12</w:t>
            </w:r>
          </w:p>
        </w:tc>
        <w:tc>
          <w:tcPr>
            <w:tcW w:w="2970" w:type="dxa"/>
          </w:tcPr>
          <w:p w14:paraId="7799DBCD" w14:textId="77777777" w:rsidR="003A1AA3" w:rsidRPr="00372C6B" w:rsidRDefault="003A1AA3" w:rsidP="000E4402">
            <w:pPr>
              <w:rPr>
                <w:rFonts w:ascii="Calibri" w:hAnsi="Calibri" w:cs="Calibri"/>
              </w:rPr>
            </w:pPr>
            <w:r w:rsidRPr="00372C6B">
              <w:rPr>
                <w:rFonts w:ascii="Calibri" w:hAnsi="Calibri" w:cs="Calibri"/>
              </w:rPr>
              <w:t>FERC and ERO Enterprise Joint Report on Real-time Assessments</w:t>
            </w:r>
          </w:p>
        </w:tc>
        <w:tc>
          <w:tcPr>
            <w:tcW w:w="1440" w:type="dxa"/>
          </w:tcPr>
          <w:p w14:paraId="6492340B" w14:textId="77777777" w:rsidR="003A1AA3" w:rsidRPr="00372C6B" w:rsidRDefault="003A1AA3" w:rsidP="000E4402">
            <w:pPr>
              <w:rPr>
                <w:rFonts w:ascii="Calibri" w:hAnsi="Calibri" w:cs="Calibri"/>
              </w:rPr>
            </w:pPr>
            <w:r w:rsidRPr="00372C6B">
              <w:rPr>
                <w:rFonts w:ascii="Calibri" w:hAnsi="Calibri" w:cs="Calibri"/>
              </w:rPr>
              <w:t>Real-time Assessment Practices</w:t>
            </w:r>
          </w:p>
        </w:tc>
        <w:tc>
          <w:tcPr>
            <w:tcW w:w="3060" w:type="dxa"/>
          </w:tcPr>
          <w:p w14:paraId="57E36B7A" w14:textId="77777777" w:rsidR="003A1AA3" w:rsidRPr="00372C6B" w:rsidRDefault="003A1AA3" w:rsidP="000E4402">
            <w:pPr>
              <w:rPr>
                <w:rFonts w:ascii="Calibri" w:hAnsi="Calibri" w:cs="Calibri"/>
              </w:rPr>
            </w:pPr>
            <w:r w:rsidRPr="00372C6B">
              <w:rPr>
                <w:rFonts w:ascii="Calibri" w:hAnsi="Calibri" w:cs="Calibri"/>
              </w:rPr>
              <w:t>Joint report provides insights into current practices and challenges in performing real-time assessments.</w:t>
            </w:r>
          </w:p>
        </w:tc>
        <w:tc>
          <w:tcPr>
            <w:tcW w:w="2250" w:type="dxa"/>
          </w:tcPr>
          <w:p w14:paraId="4A9F0D39" w14:textId="77777777" w:rsidR="003A1AA3" w:rsidRPr="00372C6B" w:rsidRDefault="003A1AA3" w:rsidP="000E4402">
            <w:pPr>
              <w:rPr>
                <w:rFonts w:ascii="Calibri" w:hAnsi="Calibri" w:cs="Calibri"/>
              </w:rPr>
            </w:pPr>
            <w:r w:rsidRPr="00372C6B">
              <w:rPr>
                <w:rFonts w:ascii="Calibri" w:hAnsi="Calibri" w:cs="Calibri"/>
              </w:rPr>
              <w:t>https://www.ferc.gov/media/ferc-and-ero-enterprise-joint-report-real-time-assessments</w:t>
            </w:r>
          </w:p>
          <w:p w14:paraId="52CB1EBE" w14:textId="77777777" w:rsidR="003A1AA3" w:rsidRPr="00372C6B" w:rsidRDefault="003A1AA3" w:rsidP="000E4402">
            <w:pPr>
              <w:rPr>
                <w:rFonts w:ascii="Calibri" w:hAnsi="Calibri" w:cs="Calibri"/>
              </w:rPr>
            </w:pPr>
          </w:p>
        </w:tc>
      </w:tr>
      <w:tr w:rsidR="003A1AA3" w:rsidRPr="00372C6B" w14:paraId="35B85C67" w14:textId="77777777" w:rsidTr="000E4402">
        <w:tc>
          <w:tcPr>
            <w:tcW w:w="625" w:type="dxa"/>
          </w:tcPr>
          <w:p w14:paraId="77F9BA0B" w14:textId="77777777" w:rsidR="003A1AA3" w:rsidRPr="00372C6B" w:rsidRDefault="003A1AA3" w:rsidP="000E4402">
            <w:pPr>
              <w:rPr>
                <w:rFonts w:ascii="Calibri" w:hAnsi="Calibri" w:cs="Calibri"/>
              </w:rPr>
            </w:pPr>
            <w:r>
              <w:rPr>
                <w:rFonts w:ascii="Calibri" w:hAnsi="Calibri" w:cs="Calibri"/>
              </w:rPr>
              <w:t>13</w:t>
            </w:r>
          </w:p>
        </w:tc>
        <w:tc>
          <w:tcPr>
            <w:tcW w:w="2970" w:type="dxa"/>
          </w:tcPr>
          <w:p w14:paraId="42633294" w14:textId="77777777" w:rsidR="003A1AA3" w:rsidRPr="00372C6B" w:rsidRDefault="003A1AA3" w:rsidP="000E4402">
            <w:pPr>
              <w:rPr>
                <w:rFonts w:ascii="Calibri" w:hAnsi="Calibri" w:cs="Calibri"/>
              </w:rPr>
            </w:pPr>
            <w:r w:rsidRPr="00372C6B">
              <w:rPr>
                <w:rFonts w:ascii="Calibri" w:hAnsi="Calibri" w:cs="Calibri"/>
              </w:rPr>
              <w:t>NERC Operating Committee Compliance Implementation Guidance Data Exchange Infrastructure and Testing Requirements (NERC)</w:t>
            </w:r>
          </w:p>
        </w:tc>
        <w:tc>
          <w:tcPr>
            <w:tcW w:w="1440" w:type="dxa"/>
          </w:tcPr>
          <w:p w14:paraId="729837E5" w14:textId="77777777" w:rsidR="003A1AA3" w:rsidRPr="00372C6B" w:rsidRDefault="003A1AA3" w:rsidP="000E4402">
            <w:pPr>
              <w:rPr>
                <w:rFonts w:ascii="Calibri" w:hAnsi="Calibri" w:cs="Calibri"/>
              </w:rPr>
            </w:pPr>
            <w:r w:rsidRPr="00372C6B">
              <w:rPr>
                <w:rFonts w:ascii="Calibri" w:hAnsi="Calibri" w:cs="Calibri"/>
              </w:rPr>
              <w:t>Data Exchange Infrastructure</w:t>
            </w:r>
          </w:p>
        </w:tc>
        <w:tc>
          <w:tcPr>
            <w:tcW w:w="3060" w:type="dxa"/>
          </w:tcPr>
          <w:p w14:paraId="54A54E1E" w14:textId="77777777" w:rsidR="003A1AA3" w:rsidRPr="00372C6B" w:rsidRDefault="003A1AA3" w:rsidP="000E4402">
            <w:pPr>
              <w:rPr>
                <w:rFonts w:ascii="Calibri" w:hAnsi="Calibri" w:cs="Calibri"/>
              </w:rPr>
            </w:pPr>
            <w:r w:rsidRPr="00372C6B">
              <w:rPr>
                <w:rFonts w:ascii="Calibri" w:hAnsi="Calibri" w:cs="Calibri"/>
              </w:rPr>
              <w:t>Guidance on infrastructure and testing requirements for reliable data exchange supporting real-time operations.</w:t>
            </w:r>
          </w:p>
        </w:tc>
        <w:tc>
          <w:tcPr>
            <w:tcW w:w="2250" w:type="dxa"/>
          </w:tcPr>
          <w:p w14:paraId="64B2AD89" w14:textId="77777777" w:rsidR="003A1AA3" w:rsidRPr="00372C6B" w:rsidRDefault="003A1AA3" w:rsidP="000E4402">
            <w:pPr>
              <w:rPr>
                <w:rFonts w:ascii="Calibri" w:hAnsi="Calibri" w:cs="Calibri"/>
              </w:rPr>
            </w:pPr>
            <w:r w:rsidRPr="00372C6B">
              <w:rPr>
                <w:rFonts w:ascii="Calibri" w:hAnsi="Calibri" w:cs="Calibri"/>
              </w:rPr>
              <w:t>https://www.nerc.com/globalassets/programs/compliance/compliance-guidance/implementation/top-001-4-and-iro-002-5-data-exchange-infrastructure-and-testing-oc.pdf</w:t>
            </w:r>
          </w:p>
        </w:tc>
      </w:tr>
      <w:tr w:rsidR="003A1AA3" w:rsidRPr="00372C6B" w14:paraId="330A0724" w14:textId="77777777" w:rsidTr="000E4402">
        <w:tc>
          <w:tcPr>
            <w:tcW w:w="625" w:type="dxa"/>
          </w:tcPr>
          <w:p w14:paraId="7CBDAA04" w14:textId="77777777" w:rsidR="003A1AA3" w:rsidRPr="00372C6B" w:rsidRDefault="003A1AA3" w:rsidP="000E4402">
            <w:pPr>
              <w:rPr>
                <w:rFonts w:ascii="Calibri" w:hAnsi="Calibri" w:cs="Calibri"/>
              </w:rPr>
            </w:pPr>
            <w:r>
              <w:rPr>
                <w:rFonts w:ascii="Calibri" w:hAnsi="Calibri" w:cs="Calibri"/>
              </w:rPr>
              <w:t>14</w:t>
            </w:r>
          </w:p>
        </w:tc>
        <w:tc>
          <w:tcPr>
            <w:tcW w:w="2970" w:type="dxa"/>
          </w:tcPr>
          <w:p w14:paraId="13304A0D" w14:textId="77777777" w:rsidR="003A1AA3" w:rsidRPr="00372C6B" w:rsidRDefault="003A1AA3" w:rsidP="000E4402">
            <w:pPr>
              <w:rPr>
                <w:rFonts w:ascii="Calibri" w:hAnsi="Calibri" w:cs="Calibri"/>
              </w:rPr>
            </w:pPr>
            <w:r w:rsidRPr="00372C6B">
              <w:rPr>
                <w:rFonts w:ascii="Calibri" w:hAnsi="Calibri" w:cs="Calibri"/>
              </w:rPr>
              <w:t>Compliance Implementation Guidance Real-time Assessment Quality of Analysis (NERC)</w:t>
            </w:r>
          </w:p>
        </w:tc>
        <w:tc>
          <w:tcPr>
            <w:tcW w:w="1440" w:type="dxa"/>
          </w:tcPr>
          <w:p w14:paraId="3E958C18" w14:textId="77777777" w:rsidR="003A1AA3" w:rsidRPr="00372C6B" w:rsidRDefault="003A1AA3" w:rsidP="000E4402">
            <w:pPr>
              <w:rPr>
                <w:rFonts w:ascii="Calibri" w:hAnsi="Calibri" w:cs="Calibri"/>
              </w:rPr>
            </w:pPr>
            <w:r w:rsidRPr="00372C6B">
              <w:rPr>
                <w:rFonts w:ascii="Calibri" w:hAnsi="Calibri" w:cs="Calibri"/>
              </w:rPr>
              <w:t>Quality of Real-time Assessments</w:t>
            </w:r>
          </w:p>
        </w:tc>
        <w:tc>
          <w:tcPr>
            <w:tcW w:w="3060" w:type="dxa"/>
          </w:tcPr>
          <w:p w14:paraId="0A2C577A" w14:textId="77777777" w:rsidR="003A1AA3" w:rsidRPr="00372C6B" w:rsidRDefault="003A1AA3" w:rsidP="000E4402">
            <w:pPr>
              <w:rPr>
                <w:rFonts w:ascii="Calibri" w:hAnsi="Calibri" w:cs="Calibri"/>
              </w:rPr>
            </w:pPr>
            <w:r w:rsidRPr="00372C6B">
              <w:rPr>
                <w:rFonts w:ascii="Calibri" w:hAnsi="Calibri" w:cs="Calibri"/>
              </w:rPr>
              <w:t>Provides criteria and best practices for ensuring high-quality real-time assessments.</w:t>
            </w:r>
          </w:p>
        </w:tc>
        <w:tc>
          <w:tcPr>
            <w:tcW w:w="2250" w:type="dxa"/>
          </w:tcPr>
          <w:p w14:paraId="6224A63B" w14:textId="77777777" w:rsidR="003A1AA3" w:rsidRPr="00372C6B" w:rsidRDefault="003A1AA3" w:rsidP="000E4402">
            <w:pPr>
              <w:rPr>
                <w:rFonts w:ascii="Calibri" w:hAnsi="Calibri" w:cs="Calibri"/>
              </w:rPr>
            </w:pPr>
            <w:r w:rsidRPr="00372C6B">
              <w:rPr>
                <w:rFonts w:ascii="Calibri" w:hAnsi="Calibri" w:cs="Calibri"/>
              </w:rPr>
              <w:t>https://www.nerc.com/globalassets/standards/reliability-standards/top/top-010-1i-r3-and-iro-018-1i-r2---rta-quality-of-analysis-oc.pdf</w:t>
            </w:r>
          </w:p>
        </w:tc>
      </w:tr>
      <w:tr w:rsidR="003A1AA3" w:rsidRPr="00372C6B" w14:paraId="2A16A64D" w14:textId="77777777" w:rsidTr="000E4402">
        <w:tc>
          <w:tcPr>
            <w:tcW w:w="625" w:type="dxa"/>
          </w:tcPr>
          <w:p w14:paraId="22C0C486" w14:textId="77777777" w:rsidR="003A1AA3" w:rsidRPr="00372C6B" w:rsidRDefault="003A1AA3" w:rsidP="000E4402">
            <w:pPr>
              <w:rPr>
                <w:rFonts w:ascii="Calibri" w:hAnsi="Calibri" w:cs="Calibri"/>
              </w:rPr>
            </w:pPr>
            <w:r>
              <w:rPr>
                <w:rFonts w:ascii="Calibri" w:hAnsi="Calibri" w:cs="Calibri"/>
              </w:rPr>
              <w:t>15</w:t>
            </w:r>
          </w:p>
        </w:tc>
        <w:tc>
          <w:tcPr>
            <w:tcW w:w="2970" w:type="dxa"/>
          </w:tcPr>
          <w:p w14:paraId="5840175A" w14:textId="77777777" w:rsidR="003A1AA3" w:rsidRPr="00372C6B" w:rsidRDefault="003A1AA3" w:rsidP="000E4402">
            <w:pPr>
              <w:rPr>
                <w:rFonts w:ascii="Calibri" w:hAnsi="Calibri" w:cs="Calibri"/>
              </w:rPr>
            </w:pPr>
            <w:r w:rsidRPr="00372C6B">
              <w:rPr>
                <w:rFonts w:ascii="Calibri" w:hAnsi="Calibri" w:cs="Calibri"/>
              </w:rPr>
              <w:t>NERC Operating Committee Compliance Implementation Guidance Real-time Assessment (NERC)</w:t>
            </w:r>
          </w:p>
        </w:tc>
        <w:tc>
          <w:tcPr>
            <w:tcW w:w="1440" w:type="dxa"/>
          </w:tcPr>
          <w:p w14:paraId="2DCCCD42" w14:textId="77777777" w:rsidR="003A1AA3" w:rsidRPr="00372C6B" w:rsidRDefault="003A1AA3" w:rsidP="000E4402">
            <w:pPr>
              <w:rPr>
                <w:rFonts w:ascii="Calibri" w:hAnsi="Calibri" w:cs="Calibri"/>
              </w:rPr>
            </w:pPr>
            <w:r w:rsidRPr="00372C6B">
              <w:rPr>
                <w:rFonts w:ascii="Calibri" w:hAnsi="Calibri" w:cs="Calibri"/>
              </w:rPr>
              <w:t>Real-time Assessment Guidance</w:t>
            </w:r>
          </w:p>
        </w:tc>
        <w:tc>
          <w:tcPr>
            <w:tcW w:w="3060" w:type="dxa"/>
          </w:tcPr>
          <w:p w14:paraId="24EB3698" w14:textId="77777777" w:rsidR="003A1AA3" w:rsidRPr="00372C6B" w:rsidRDefault="003A1AA3" w:rsidP="000E4402">
            <w:pPr>
              <w:rPr>
                <w:rFonts w:ascii="Calibri" w:hAnsi="Calibri" w:cs="Calibri"/>
              </w:rPr>
            </w:pPr>
            <w:r w:rsidRPr="00372C6B">
              <w:rPr>
                <w:rFonts w:ascii="Calibri" w:hAnsi="Calibri" w:cs="Calibri"/>
              </w:rPr>
              <w:t>Clarifies expectations and acceptable approaches for performing real-time assessments, including evidence requirements.</w:t>
            </w:r>
          </w:p>
        </w:tc>
        <w:tc>
          <w:tcPr>
            <w:tcW w:w="2250" w:type="dxa"/>
          </w:tcPr>
          <w:p w14:paraId="6E9A21FC" w14:textId="77777777" w:rsidR="003A1AA3" w:rsidRPr="00372C6B" w:rsidRDefault="003A1AA3" w:rsidP="000E4402">
            <w:pPr>
              <w:rPr>
                <w:rFonts w:ascii="Calibri" w:hAnsi="Calibri" w:cs="Calibri"/>
              </w:rPr>
            </w:pPr>
            <w:hyperlink r:id="rId21" w:history="1">
              <w:r w:rsidRPr="00372C6B">
                <w:rPr>
                  <w:rStyle w:val="Hyperlink"/>
                  <w:rFonts w:ascii="Calibri" w:hAnsi="Calibri" w:cs="Calibri"/>
                </w:rPr>
                <w:t>https://www.nerc.com/globalassets/programs/compliance/compliance-guidance/implementation/top-001-3-r13-and-iro-008-2-r4-real-time-assessments-oc.pdf</w:t>
              </w:r>
            </w:hyperlink>
          </w:p>
        </w:tc>
      </w:tr>
      <w:tr w:rsidR="003A1AA3" w:rsidRPr="00372C6B" w14:paraId="41976A5C" w14:textId="77777777" w:rsidTr="000E4402">
        <w:tc>
          <w:tcPr>
            <w:tcW w:w="625" w:type="dxa"/>
          </w:tcPr>
          <w:p w14:paraId="41F6A539" w14:textId="77777777" w:rsidR="003A1AA3" w:rsidRPr="00372C6B" w:rsidRDefault="003A1AA3" w:rsidP="000E4402">
            <w:pPr>
              <w:rPr>
                <w:rFonts w:ascii="Calibri" w:hAnsi="Calibri" w:cs="Calibri"/>
              </w:rPr>
            </w:pPr>
            <w:r>
              <w:rPr>
                <w:rFonts w:ascii="Calibri" w:hAnsi="Calibri" w:cs="Calibri"/>
              </w:rPr>
              <w:t>16</w:t>
            </w:r>
          </w:p>
        </w:tc>
        <w:tc>
          <w:tcPr>
            <w:tcW w:w="2970" w:type="dxa"/>
          </w:tcPr>
          <w:p w14:paraId="2E2D5FF6" w14:textId="77777777" w:rsidR="003A1AA3" w:rsidRPr="00372C6B" w:rsidRDefault="003A1AA3" w:rsidP="000E4402">
            <w:pPr>
              <w:rPr>
                <w:rFonts w:ascii="Calibri" w:hAnsi="Calibri" w:cs="Calibri"/>
              </w:rPr>
            </w:pPr>
            <w:r w:rsidRPr="00372C6B">
              <w:rPr>
                <w:rFonts w:ascii="Calibri" w:hAnsi="Calibri" w:cs="Calibri"/>
              </w:rPr>
              <w:t>FERC Order Mandatory Reliability Standards for Interconnection Reliability Operating Limits (FERC)</w:t>
            </w:r>
          </w:p>
        </w:tc>
        <w:tc>
          <w:tcPr>
            <w:tcW w:w="1440" w:type="dxa"/>
          </w:tcPr>
          <w:p w14:paraId="1DC73B8F" w14:textId="77777777" w:rsidR="003A1AA3" w:rsidRPr="00372C6B" w:rsidRDefault="003A1AA3" w:rsidP="000E4402">
            <w:pPr>
              <w:rPr>
                <w:rFonts w:ascii="Calibri" w:hAnsi="Calibri" w:cs="Calibri"/>
              </w:rPr>
            </w:pPr>
            <w:r w:rsidRPr="00372C6B">
              <w:rPr>
                <w:rFonts w:ascii="Calibri" w:hAnsi="Calibri" w:cs="Calibri"/>
              </w:rPr>
              <w:t>Regulatory Framework for IROLs</w:t>
            </w:r>
          </w:p>
        </w:tc>
        <w:tc>
          <w:tcPr>
            <w:tcW w:w="3060" w:type="dxa"/>
          </w:tcPr>
          <w:p w14:paraId="7F449298" w14:textId="77777777" w:rsidR="003A1AA3" w:rsidRPr="00372C6B" w:rsidRDefault="003A1AA3" w:rsidP="000E4402">
            <w:pPr>
              <w:rPr>
                <w:rFonts w:ascii="Calibri" w:hAnsi="Calibri" w:cs="Calibri"/>
              </w:rPr>
            </w:pPr>
            <w:r w:rsidRPr="00372C6B">
              <w:rPr>
                <w:rFonts w:ascii="Calibri" w:hAnsi="Calibri" w:cs="Calibri"/>
              </w:rPr>
              <w:t>Order No. 748 mandates standards to prevent instability, cascading, and uncontrolled separation by enforcing IROL compliance; explains regulatory framework.</w:t>
            </w:r>
          </w:p>
        </w:tc>
        <w:tc>
          <w:tcPr>
            <w:tcW w:w="2250" w:type="dxa"/>
          </w:tcPr>
          <w:p w14:paraId="04B8D386" w14:textId="77777777" w:rsidR="003A1AA3" w:rsidRPr="00372C6B" w:rsidRDefault="003A1AA3" w:rsidP="000E4402">
            <w:pPr>
              <w:rPr>
                <w:rFonts w:ascii="Calibri" w:hAnsi="Calibri" w:cs="Calibri"/>
              </w:rPr>
            </w:pPr>
            <w:r w:rsidRPr="00372C6B">
              <w:rPr>
                <w:rFonts w:ascii="Calibri" w:hAnsi="Calibri" w:cs="Calibri"/>
              </w:rPr>
              <w:t>https://www.ferc.gov/sites/default/files/2020-05/E-8_30.pdf</w:t>
            </w:r>
          </w:p>
        </w:tc>
      </w:tr>
      <w:tr w:rsidR="003A1AA3" w:rsidRPr="00372C6B" w14:paraId="78855943" w14:textId="77777777" w:rsidTr="000E4402">
        <w:tc>
          <w:tcPr>
            <w:tcW w:w="625" w:type="dxa"/>
          </w:tcPr>
          <w:p w14:paraId="68D82B7A" w14:textId="77777777" w:rsidR="003A1AA3" w:rsidRPr="00372C6B" w:rsidRDefault="003A1AA3" w:rsidP="000E4402">
            <w:pPr>
              <w:rPr>
                <w:rFonts w:ascii="Calibri" w:hAnsi="Calibri" w:cs="Calibri"/>
              </w:rPr>
            </w:pPr>
          </w:p>
        </w:tc>
        <w:tc>
          <w:tcPr>
            <w:tcW w:w="2970" w:type="dxa"/>
          </w:tcPr>
          <w:p w14:paraId="4808E247" w14:textId="77777777" w:rsidR="003A1AA3" w:rsidRPr="00372C6B" w:rsidRDefault="003A1AA3" w:rsidP="000E4402">
            <w:pPr>
              <w:rPr>
                <w:rFonts w:ascii="Calibri" w:hAnsi="Calibri" w:cs="Calibri"/>
              </w:rPr>
            </w:pPr>
            <w:r w:rsidRPr="00372C6B">
              <w:rPr>
                <w:rFonts w:ascii="Calibri" w:hAnsi="Calibri" w:cs="Calibri"/>
              </w:rPr>
              <w:t>ERO Enterprise Joint IROL Activity Report (NERC)</w:t>
            </w:r>
          </w:p>
        </w:tc>
        <w:tc>
          <w:tcPr>
            <w:tcW w:w="1440" w:type="dxa"/>
          </w:tcPr>
          <w:p w14:paraId="17DD9A68" w14:textId="77777777" w:rsidR="003A1AA3" w:rsidRPr="00372C6B" w:rsidRDefault="003A1AA3" w:rsidP="000E4402">
            <w:pPr>
              <w:rPr>
                <w:rFonts w:ascii="Calibri" w:hAnsi="Calibri" w:cs="Calibri"/>
              </w:rPr>
            </w:pPr>
            <w:r w:rsidRPr="00372C6B">
              <w:rPr>
                <w:rFonts w:ascii="Calibri" w:hAnsi="Calibri" w:cs="Calibri"/>
              </w:rPr>
              <w:t>IROL Management Guidance</w:t>
            </w:r>
          </w:p>
        </w:tc>
        <w:tc>
          <w:tcPr>
            <w:tcW w:w="3060" w:type="dxa"/>
          </w:tcPr>
          <w:p w14:paraId="2B794EBD" w14:textId="77777777" w:rsidR="003A1AA3" w:rsidRPr="00372C6B" w:rsidRDefault="003A1AA3" w:rsidP="000E4402">
            <w:pPr>
              <w:rPr>
                <w:rFonts w:ascii="Calibri" w:hAnsi="Calibri" w:cs="Calibri"/>
              </w:rPr>
            </w:pPr>
            <w:r w:rsidRPr="00372C6B">
              <w:rPr>
                <w:rFonts w:ascii="Calibri" w:hAnsi="Calibri" w:cs="Calibri"/>
              </w:rPr>
              <w:t>Provides guidance on establishing and managing IROLs to maintain system reliability.</w:t>
            </w:r>
          </w:p>
        </w:tc>
        <w:tc>
          <w:tcPr>
            <w:tcW w:w="2250" w:type="dxa"/>
          </w:tcPr>
          <w:p w14:paraId="67CE8306" w14:textId="77777777" w:rsidR="003A1AA3" w:rsidRPr="00372C6B" w:rsidRDefault="003A1AA3" w:rsidP="000E4402">
            <w:pPr>
              <w:rPr>
                <w:rFonts w:ascii="Calibri" w:hAnsi="Calibri" w:cs="Calibri"/>
              </w:rPr>
            </w:pPr>
            <w:hyperlink r:id="rId22" w:history="1">
              <w:r w:rsidRPr="00372C6B">
                <w:rPr>
                  <w:rStyle w:val="Hyperlink"/>
                  <w:rFonts w:ascii="Calibri" w:hAnsi="Calibri" w:cs="Calibri"/>
                </w:rPr>
                <w:t>https://www.nerc.com/globalassets/programs/compliance/ero-enterprise-joint-irol-activity-report---july-2024.pdf</w:t>
              </w:r>
            </w:hyperlink>
          </w:p>
        </w:tc>
      </w:tr>
      <w:tr w:rsidR="003A1AA3" w:rsidRPr="00372C6B" w14:paraId="65941C5E" w14:textId="77777777" w:rsidTr="000E4402">
        <w:tc>
          <w:tcPr>
            <w:tcW w:w="625" w:type="dxa"/>
          </w:tcPr>
          <w:p w14:paraId="2EBE689C" w14:textId="77777777" w:rsidR="003A1AA3" w:rsidRPr="00372C6B" w:rsidRDefault="003A1AA3" w:rsidP="000E4402">
            <w:pPr>
              <w:rPr>
                <w:rFonts w:ascii="Calibri" w:hAnsi="Calibri" w:cs="Calibri"/>
              </w:rPr>
            </w:pPr>
            <w:r>
              <w:rPr>
                <w:rFonts w:ascii="Calibri" w:hAnsi="Calibri" w:cs="Calibri"/>
              </w:rPr>
              <w:t>17</w:t>
            </w:r>
          </w:p>
        </w:tc>
        <w:tc>
          <w:tcPr>
            <w:tcW w:w="2970" w:type="dxa"/>
          </w:tcPr>
          <w:p w14:paraId="59BFF985" w14:textId="77777777" w:rsidR="003A1AA3" w:rsidRPr="00372C6B" w:rsidRDefault="003A1AA3" w:rsidP="000E4402">
            <w:pPr>
              <w:rPr>
                <w:rFonts w:ascii="Calibri" w:hAnsi="Calibri" w:cs="Calibri"/>
              </w:rPr>
            </w:pPr>
            <w:r w:rsidRPr="00372C6B">
              <w:rPr>
                <w:rFonts w:ascii="Calibri" w:hAnsi="Calibri" w:cs="Calibri"/>
              </w:rPr>
              <w:t>Glossary of Terms Used in NERC Reliability Standards (NERC)</w:t>
            </w:r>
          </w:p>
        </w:tc>
        <w:tc>
          <w:tcPr>
            <w:tcW w:w="1440" w:type="dxa"/>
          </w:tcPr>
          <w:p w14:paraId="34D43CC8" w14:textId="77777777" w:rsidR="003A1AA3" w:rsidRPr="00372C6B" w:rsidRDefault="003A1AA3" w:rsidP="000E4402">
            <w:pPr>
              <w:rPr>
                <w:rFonts w:ascii="Calibri" w:hAnsi="Calibri" w:cs="Calibri"/>
              </w:rPr>
            </w:pPr>
            <w:r w:rsidRPr="00372C6B">
              <w:rPr>
                <w:rFonts w:ascii="Calibri" w:hAnsi="Calibri" w:cs="Calibri"/>
              </w:rPr>
              <w:t>Definitions</w:t>
            </w:r>
          </w:p>
        </w:tc>
        <w:tc>
          <w:tcPr>
            <w:tcW w:w="3060" w:type="dxa"/>
          </w:tcPr>
          <w:p w14:paraId="4D2C99D9" w14:textId="77777777" w:rsidR="003A1AA3" w:rsidRPr="00372C6B" w:rsidRDefault="003A1AA3" w:rsidP="000E4402">
            <w:pPr>
              <w:rPr>
                <w:rFonts w:ascii="Calibri" w:hAnsi="Calibri" w:cs="Calibri"/>
              </w:rPr>
            </w:pPr>
            <w:r w:rsidRPr="00372C6B">
              <w:rPr>
                <w:rFonts w:ascii="Calibri" w:hAnsi="Calibri" w:cs="Calibri"/>
              </w:rPr>
              <w:t>Provides explicit definitions for 'Cascading' and 'Uncontrolled Separation'.</w:t>
            </w:r>
          </w:p>
        </w:tc>
        <w:tc>
          <w:tcPr>
            <w:tcW w:w="2250" w:type="dxa"/>
          </w:tcPr>
          <w:p w14:paraId="431707D4" w14:textId="77777777" w:rsidR="003A1AA3" w:rsidRPr="00372C6B" w:rsidRDefault="003A1AA3" w:rsidP="000E4402">
            <w:pPr>
              <w:rPr>
                <w:rFonts w:ascii="Calibri" w:hAnsi="Calibri" w:cs="Calibri"/>
              </w:rPr>
            </w:pPr>
            <w:r w:rsidRPr="00372C6B">
              <w:rPr>
                <w:rFonts w:ascii="Calibri" w:hAnsi="Calibri" w:cs="Calibri"/>
              </w:rPr>
              <w:t>https://www.nerc.com/globalassets/standards/reliability-standards/glossary_of_terms.pdf</w:t>
            </w:r>
          </w:p>
        </w:tc>
      </w:tr>
      <w:tr w:rsidR="003A1AA3" w:rsidRPr="00372C6B" w14:paraId="230FACED" w14:textId="77777777" w:rsidTr="000E4402">
        <w:tc>
          <w:tcPr>
            <w:tcW w:w="625" w:type="dxa"/>
          </w:tcPr>
          <w:p w14:paraId="7E111F81" w14:textId="77777777" w:rsidR="003A1AA3" w:rsidRPr="00372C6B" w:rsidRDefault="003A1AA3" w:rsidP="000E4402">
            <w:pPr>
              <w:rPr>
                <w:rFonts w:ascii="Calibri" w:hAnsi="Calibri" w:cs="Calibri"/>
              </w:rPr>
            </w:pPr>
            <w:r>
              <w:rPr>
                <w:rFonts w:ascii="Calibri" w:hAnsi="Calibri" w:cs="Calibri"/>
              </w:rPr>
              <w:t>18</w:t>
            </w:r>
          </w:p>
        </w:tc>
        <w:tc>
          <w:tcPr>
            <w:tcW w:w="2970" w:type="dxa"/>
          </w:tcPr>
          <w:p w14:paraId="71F2A480" w14:textId="77777777" w:rsidR="003A1AA3" w:rsidRPr="00372C6B" w:rsidRDefault="003A1AA3" w:rsidP="000E4402">
            <w:pPr>
              <w:rPr>
                <w:rFonts w:ascii="Calibri" w:hAnsi="Calibri" w:cs="Calibri"/>
              </w:rPr>
            </w:pPr>
            <w:r w:rsidRPr="00372C6B">
              <w:rPr>
                <w:rFonts w:ascii="Calibri" w:hAnsi="Calibri" w:cs="Calibri"/>
              </w:rPr>
              <w:t>Tutorial: Industry Practices, Needs, and Challenges in Cascading Analysis (IEEE PES)</w:t>
            </w:r>
          </w:p>
        </w:tc>
        <w:tc>
          <w:tcPr>
            <w:tcW w:w="1440" w:type="dxa"/>
          </w:tcPr>
          <w:p w14:paraId="049DC075" w14:textId="77777777" w:rsidR="003A1AA3" w:rsidRPr="00372C6B" w:rsidRDefault="003A1AA3" w:rsidP="000E4402">
            <w:pPr>
              <w:rPr>
                <w:rFonts w:ascii="Calibri" w:hAnsi="Calibri" w:cs="Calibri"/>
              </w:rPr>
            </w:pPr>
            <w:r w:rsidRPr="00372C6B">
              <w:rPr>
                <w:rFonts w:ascii="Calibri" w:hAnsi="Calibri" w:cs="Calibri"/>
              </w:rPr>
              <w:t>Cascading Analysis</w:t>
            </w:r>
          </w:p>
        </w:tc>
        <w:tc>
          <w:tcPr>
            <w:tcW w:w="3060" w:type="dxa"/>
          </w:tcPr>
          <w:p w14:paraId="32ED0905" w14:textId="77777777" w:rsidR="003A1AA3" w:rsidRPr="00372C6B" w:rsidRDefault="003A1AA3" w:rsidP="000E4402">
            <w:pPr>
              <w:rPr>
                <w:rFonts w:ascii="Calibri" w:hAnsi="Calibri" w:cs="Calibri"/>
              </w:rPr>
            </w:pPr>
            <w:r w:rsidRPr="00372C6B">
              <w:rPr>
                <w:rFonts w:ascii="Calibri" w:hAnsi="Calibri" w:cs="Calibri"/>
              </w:rPr>
              <w:t>Lists standards applicable to cascading and discusses industry practices and challenges.</w:t>
            </w:r>
          </w:p>
        </w:tc>
        <w:tc>
          <w:tcPr>
            <w:tcW w:w="2250" w:type="dxa"/>
          </w:tcPr>
          <w:p w14:paraId="4A7FC75A" w14:textId="77777777" w:rsidR="003A1AA3" w:rsidRPr="00372C6B" w:rsidRDefault="003A1AA3" w:rsidP="000E4402">
            <w:pPr>
              <w:rPr>
                <w:rFonts w:ascii="Calibri" w:hAnsi="Calibri" w:cs="Calibri"/>
              </w:rPr>
            </w:pPr>
            <w:r w:rsidRPr="00372C6B">
              <w:rPr>
                <w:rFonts w:ascii="Calibri" w:hAnsi="Calibri" w:cs="Calibri"/>
              </w:rPr>
              <w:t>https://site.ieee.org/pes-cascading/presentations/</w:t>
            </w:r>
            <w:r w:rsidRPr="00372C6B">
              <w:rPr>
                <w:rFonts w:ascii="Calibri" w:hAnsi="Calibri" w:cs="Calibri"/>
              </w:rPr>
              <w:br/>
              <w:t>IEEE PES General Meeting, 2017 (Chicago, IL): Tutorial: “Industry Best Practices, Needs, and Challenges in Cascading Analysis: Tutorial and Training”</w:t>
            </w:r>
          </w:p>
        </w:tc>
      </w:tr>
      <w:tr w:rsidR="003A1AA3" w:rsidRPr="00372C6B" w14:paraId="78183619" w14:textId="77777777" w:rsidTr="000E4402">
        <w:tc>
          <w:tcPr>
            <w:tcW w:w="625" w:type="dxa"/>
          </w:tcPr>
          <w:p w14:paraId="2B69C2C9" w14:textId="77777777" w:rsidR="003A1AA3" w:rsidRPr="00372C6B" w:rsidRDefault="003A1AA3" w:rsidP="000E4402">
            <w:pPr>
              <w:rPr>
                <w:rFonts w:ascii="Calibri" w:hAnsi="Calibri" w:cs="Calibri"/>
              </w:rPr>
            </w:pPr>
            <w:r>
              <w:rPr>
                <w:rFonts w:ascii="Calibri" w:hAnsi="Calibri" w:cs="Calibri"/>
              </w:rPr>
              <w:t>19</w:t>
            </w:r>
          </w:p>
        </w:tc>
        <w:tc>
          <w:tcPr>
            <w:tcW w:w="2970" w:type="dxa"/>
          </w:tcPr>
          <w:p w14:paraId="136265D3" w14:textId="77777777" w:rsidR="003A1AA3" w:rsidRPr="00372C6B" w:rsidRDefault="003A1AA3" w:rsidP="000E4402">
            <w:pPr>
              <w:rPr>
                <w:rFonts w:ascii="Calibri" w:hAnsi="Calibri" w:cs="Calibri"/>
              </w:rPr>
            </w:pPr>
            <w:r w:rsidRPr="00372C6B">
              <w:rPr>
                <w:rFonts w:ascii="Calibri" w:hAnsi="Calibri" w:cs="Calibri"/>
              </w:rPr>
              <w:t>Mitigation and Prevention of Cascading Outages: Methodologies and Practical Applications (IEEE CAMS Subcommittee)</w:t>
            </w:r>
          </w:p>
        </w:tc>
        <w:tc>
          <w:tcPr>
            <w:tcW w:w="1440" w:type="dxa"/>
          </w:tcPr>
          <w:p w14:paraId="40E90A19" w14:textId="77777777" w:rsidR="003A1AA3" w:rsidRPr="00372C6B" w:rsidRDefault="003A1AA3" w:rsidP="000E4402">
            <w:pPr>
              <w:rPr>
                <w:rFonts w:ascii="Calibri" w:hAnsi="Calibri" w:cs="Calibri"/>
              </w:rPr>
            </w:pPr>
            <w:r w:rsidRPr="00372C6B">
              <w:rPr>
                <w:rFonts w:ascii="Calibri" w:hAnsi="Calibri" w:cs="Calibri"/>
              </w:rPr>
              <w:t>Cascading Mitigation</w:t>
            </w:r>
          </w:p>
        </w:tc>
        <w:tc>
          <w:tcPr>
            <w:tcW w:w="3060" w:type="dxa"/>
          </w:tcPr>
          <w:p w14:paraId="47352EA2" w14:textId="77777777" w:rsidR="003A1AA3" w:rsidRPr="00372C6B" w:rsidRDefault="003A1AA3" w:rsidP="000E4402">
            <w:pPr>
              <w:rPr>
                <w:rFonts w:ascii="Calibri" w:hAnsi="Calibri" w:cs="Calibri"/>
              </w:rPr>
            </w:pPr>
            <w:r w:rsidRPr="00372C6B">
              <w:rPr>
                <w:rFonts w:ascii="Calibri" w:hAnsi="Calibri" w:cs="Calibri"/>
              </w:rPr>
              <w:t>Provides methodologies and practical applications for preventing cascading outages.</w:t>
            </w:r>
          </w:p>
        </w:tc>
        <w:tc>
          <w:tcPr>
            <w:tcW w:w="2250" w:type="dxa"/>
          </w:tcPr>
          <w:p w14:paraId="5E4AD69D" w14:textId="77777777" w:rsidR="003A1AA3" w:rsidRPr="00372C6B" w:rsidRDefault="003A1AA3" w:rsidP="000E4402">
            <w:pPr>
              <w:rPr>
                <w:rFonts w:ascii="Calibri" w:hAnsi="Calibri" w:cs="Calibri"/>
              </w:rPr>
            </w:pPr>
            <w:r w:rsidRPr="00372C6B">
              <w:rPr>
                <w:rFonts w:ascii="Calibri" w:hAnsi="Calibri" w:cs="Calibri"/>
              </w:rPr>
              <w:t>https://phines.w3.uvm.edu/publications/2013/cftf_2013_mitigation.pdf</w:t>
            </w:r>
          </w:p>
        </w:tc>
      </w:tr>
      <w:tr w:rsidR="003A1AA3" w:rsidRPr="00372C6B" w14:paraId="2EEDC4D5" w14:textId="77777777" w:rsidTr="000E4402">
        <w:tc>
          <w:tcPr>
            <w:tcW w:w="625" w:type="dxa"/>
          </w:tcPr>
          <w:p w14:paraId="53E060F4" w14:textId="77777777" w:rsidR="003A1AA3" w:rsidRPr="00372C6B" w:rsidRDefault="003A1AA3" w:rsidP="000E4402">
            <w:pPr>
              <w:rPr>
                <w:rFonts w:ascii="Calibri" w:hAnsi="Calibri" w:cs="Calibri"/>
              </w:rPr>
            </w:pPr>
            <w:r>
              <w:rPr>
                <w:rFonts w:ascii="Calibri" w:hAnsi="Calibri" w:cs="Calibri"/>
              </w:rPr>
              <w:t>20</w:t>
            </w:r>
          </w:p>
        </w:tc>
        <w:tc>
          <w:tcPr>
            <w:tcW w:w="2970" w:type="dxa"/>
          </w:tcPr>
          <w:p w14:paraId="61F464DA" w14:textId="77777777" w:rsidR="003A1AA3" w:rsidRPr="00372C6B" w:rsidRDefault="003A1AA3" w:rsidP="000E4402">
            <w:pPr>
              <w:rPr>
                <w:rFonts w:ascii="Calibri" w:hAnsi="Calibri" w:cs="Calibri"/>
              </w:rPr>
            </w:pPr>
            <w:r w:rsidRPr="00372C6B">
              <w:rPr>
                <w:rFonts w:ascii="Calibri" w:hAnsi="Calibri" w:cs="Calibri"/>
              </w:rPr>
              <w:t>IEEE PES Cascading Failures</w:t>
            </w:r>
          </w:p>
          <w:p w14:paraId="77CDF4D4" w14:textId="77777777" w:rsidR="003A1AA3" w:rsidRPr="00372C6B" w:rsidRDefault="003A1AA3" w:rsidP="000E4402">
            <w:pPr>
              <w:rPr>
                <w:rFonts w:ascii="Calibri" w:hAnsi="Calibri" w:cs="Calibri"/>
              </w:rPr>
            </w:pPr>
            <w:r w:rsidRPr="00372C6B">
              <w:rPr>
                <w:rFonts w:ascii="Calibri" w:hAnsi="Calibri" w:cs="Calibri"/>
              </w:rPr>
              <w:t>Working Group (CFWG):</w:t>
            </w:r>
          </w:p>
          <w:p w14:paraId="33366FF6" w14:textId="77777777" w:rsidR="003A1AA3" w:rsidRPr="00372C6B" w:rsidRDefault="003A1AA3" w:rsidP="000E4402">
            <w:pPr>
              <w:rPr>
                <w:rFonts w:ascii="Calibri" w:hAnsi="Calibri" w:cs="Calibri"/>
              </w:rPr>
            </w:pPr>
            <w:r w:rsidRPr="00372C6B">
              <w:rPr>
                <w:rFonts w:ascii="Calibri" w:hAnsi="Calibri" w:cs="Calibri"/>
              </w:rPr>
              <w:t>Analysis and Recommendations</w:t>
            </w:r>
          </w:p>
        </w:tc>
        <w:tc>
          <w:tcPr>
            <w:tcW w:w="1440" w:type="dxa"/>
          </w:tcPr>
          <w:p w14:paraId="4A720F73" w14:textId="77777777" w:rsidR="003A1AA3" w:rsidRPr="00372C6B" w:rsidRDefault="003A1AA3" w:rsidP="000E4402">
            <w:pPr>
              <w:rPr>
                <w:rFonts w:ascii="Calibri" w:hAnsi="Calibri" w:cs="Calibri"/>
              </w:rPr>
            </w:pPr>
            <w:r w:rsidRPr="00372C6B">
              <w:rPr>
                <w:rFonts w:ascii="Calibri" w:hAnsi="Calibri" w:cs="Calibri"/>
              </w:rPr>
              <w:t>Cascading Prevention, Analysis, Mitigation, and Uses of PMUs</w:t>
            </w:r>
          </w:p>
        </w:tc>
        <w:tc>
          <w:tcPr>
            <w:tcW w:w="3060" w:type="dxa"/>
          </w:tcPr>
          <w:p w14:paraId="14C79BE0" w14:textId="77777777" w:rsidR="003A1AA3" w:rsidRPr="00372C6B" w:rsidRDefault="003A1AA3" w:rsidP="000E4402">
            <w:pPr>
              <w:rPr>
                <w:rFonts w:ascii="Calibri" w:hAnsi="Calibri" w:cs="Calibri"/>
              </w:rPr>
            </w:pPr>
            <w:r w:rsidRPr="00372C6B">
              <w:rPr>
                <w:rFonts w:ascii="Calibri" w:hAnsi="Calibri" w:cs="Calibri"/>
              </w:rPr>
              <w:t>Discusses cascading analysis framework and benefits of using PMUs for analysis of cascades.</w:t>
            </w:r>
          </w:p>
        </w:tc>
        <w:tc>
          <w:tcPr>
            <w:tcW w:w="2250" w:type="dxa"/>
          </w:tcPr>
          <w:p w14:paraId="48B3A5D5" w14:textId="77777777" w:rsidR="003A1AA3" w:rsidRPr="00372C6B" w:rsidRDefault="003A1AA3" w:rsidP="000E4402">
            <w:pPr>
              <w:rPr>
                <w:rFonts w:ascii="Calibri" w:hAnsi="Calibri" w:cs="Calibri"/>
              </w:rPr>
            </w:pPr>
            <w:r w:rsidRPr="00372C6B">
              <w:rPr>
                <w:rFonts w:ascii="Calibri" w:hAnsi="Calibri" w:cs="Calibri"/>
              </w:rPr>
              <w:t>https://naspi.org/sites/default/files/2017-03/ieee_papic_cascading_outage_prevention_20160322.pdf</w:t>
            </w:r>
          </w:p>
        </w:tc>
      </w:tr>
      <w:tr w:rsidR="003A1AA3" w:rsidRPr="00372C6B" w14:paraId="4F9C2001" w14:textId="77777777" w:rsidTr="000E4402">
        <w:tc>
          <w:tcPr>
            <w:tcW w:w="625" w:type="dxa"/>
          </w:tcPr>
          <w:p w14:paraId="72A4DACB" w14:textId="77777777" w:rsidR="003A1AA3" w:rsidRPr="00372C6B" w:rsidRDefault="003A1AA3" w:rsidP="000E4402">
            <w:pPr>
              <w:rPr>
                <w:rFonts w:ascii="Calibri" w:hAnsi="Calibri" w:cs="Calibri"/>
              </w:rPr>
            </w:pPr>
            <w:r>
              <w:rPr>
                <w:rFonts w:ascii="Calibri" w:hAnsi="Calibri" w:cs="Calibri"/>
              </w:rPr>
              <w:t>21</w:t>
            </w:r>
          </w:p>
        </w:tc>
        <w:tc>
          <w:tcPr>
            <w:tcW w:w="2970" w:type="dxa"/>
          </w:tcPr>
          <w:p w14:paraId="396A9F86" w14:textId="77777777" w:rsidR="003A1AA3" w:rsidRPr="00372C6B" w:rsidRDefault="003A1AA3" w:rsidP="000E4402">
            <w:pPr>
              <w:rPr>
                <w:rFonts w:ascii="Calibri" w:hAnsi="Calibri" w:cs="Calibri"/>
              </w:rPr>
            </w:pPr>
            <w:r w:rsidRPr="00372C6B">
              <w:rPr>
                <w:rFonts w:ascii="Calibri" w:hAnsi="Calibri" w:cs="Calibri"/>
              </w:rPr>
              <w:t>Power System Control Under Cascading Failures: Understanding, Mitigation, and System Restoration (IEEE Press)</w:t>
            </w:r>
          </w:p>
        </w:tc>
        <w:tc>
          <w:tcPr>
            <w:tcW w:w="1440" w:type="dxa"/>
          </w:tcPr>
          <w:p w14:paraId="4A76A23C" w14:textId="77777777" w:rsidR="003A1AA3" w:rsidRPr="00372C6B" w:rsidRDefault="003A1AA3" w:rsidP="000E4402">
            <w:pPr>
              <w:rPr>
                <w:rFonts w:ascii="Calibri" w:hAnsi="Calibri" w:cs="Calibri"/>
              </w:rPr>
            </w:pPr>
            <w:r w:rsidRPr="00372C6B">
              <w:rPr>
                <w:rFonts w:ascii="Calibri" w:hAnsi="Calibri" w:cs="Calibri"/>
              </w:rPr>
              <w:t>System Control &amp; Restoration</w:t>
            </w:r>
          </w:p>
        </w:tc>
        <w:tc>
          <w:tcPr>
            <w:tcW w:w="3060" w:type="dxa"/>
          </w:tcPr>
          <w:p w14:paraId="443AA75F" w14:textId="77777777" w:rsidR="003A1AA3" w:rsidRPr="00372C6B" w:rsidRDefault="003A1AA3" w:rsidP="000E4402">
            <w:pPr>
              <w:rPr>
                <w:rFonts w:ascii="Calibri" w:hAnsi="Calibri" w:cs="Calibri"/>
              </w:rPr>
            </w:pPr>
            <w:r w:rsidRPr="00372C6B">
              <w:rPr>
                <w:rFonts w:ascii="Calibri" w:hAnsi="Calibri" w:cs="Calibri"/>
              </w:rPr>
              <w:t>Comprehensive book on modeling, mitigation, and restoration under cascading failures.</w:t>
            </w:r>
          </w:p>
        </w:tc>
        <w:tc>
          <w:tcPr>
            <w:tcW w:w="2250" w:type="dxa"/>
          </w:tcPr>
          <w:p w14:paraId="1933BD9B" w14:textId="77777777" w:rsidR="003A1AA3" w:rsidRPr="00372C6B" w:rsidRDefault="003A1AA3" w:rsidP="000E4402">
            <w:pPr>
              <w:rPr>
                <w:rFonts w:ascii="Calibri" w:hAnsi="Calibri" w:cs="Calibri"/>
              </w:rPr>
            </w:pPr>
            <w:hyperlink r:id="rId23" w:history="1">
              <w:r w:rsidRPr="00372C6B">
                <w:rPr>
                  <w:rStyle w:val="Hyperlink"/>
                  <w:rFonts w:ascii="Calibri" w:hAnsi="Calibri" w:cs="Calibri"/>
                </w:rPr>
                <w:t>https://www.wiley.com/en-us/Power+System+Control+Under+Cascading+Failures%3A+Understanding%2C+Mitigation%2C+and+S</w:t>
              </w:r>
              <w:r w:rsidRPr="00372C6B">
                <w:rPr>
                  <w:rStyle w:val="Hyperlink"/>
                  <w:rFonts w:ascii="Calibri" w:hAnsi="Calibri" w:cs="Calibri"/>
                </w:rPr>
                <w:lastRenderedPageBreak/>
                <w:t>ystem+Restoration-p-9781119282020</w:t>
              </w:r>
            </w:hyperlink>
          </w:p>
          <w:p w14:paraId="70FDB1D5" w14:textId="77777777" w:rsidR="003A1AA3" w:rsidRPr="00372C6B" w:rsidRDefault="003A1AA3" w:rsidP="000E4402">
            <w:pPr>
              <w:rPr>
                <w:rFonts w:ascii="Calibri" w:hAnsi="Calibri" w:cs="Calibri"/>
              </w:rPr>
            </w:pPr>
          </w:p>
        </w:tc>
      </w:tr>
      <w:tr w:rsidR="003A1AA3" w:rsidRPr="00372C6B" w14:paraId="1AB92757" w14:textId="77777777" w:rsidTr="000E4402">
        <w:tc>
          <w:tcPr>
            <w:tcW w:w="625" w:type="dxa"/>
          </w:tcPr>
          <w:p w14:paraId="3384A84C" w14:textId="77777777" w:rsidR="003A1AA3" w:rsidRPr="00372C6B" w:rsidRDefault="003A1AA3" w:rsidP="000E4402">
            <w:pPr>
              <w:rPr>
                <w:rFonts w:ascii="Calibri" w:hAnsi="Calibri" w:cs="Calibri"/>
              </w:rPr>
            </w:pPr>
            <w:r>
              <w:rPr>
                <w:rFonts w:ascii="Calibri" w:hAnsi="Calibri" w:cs="Calibri"/>
              </w:rPr>
              <w:lastRenderedPageBreak/>
              <w:t>22</w:t>
            </w:r>
          </w:p>
        </w:tc>
        <w:tc>
          <w:tcPr>
            <w:tcW w:w="2970" w:type="dxa"/>
          </w:tcPr>
          <w:p w14:paraId="03392E99" w14:textId="77777777" w:rsidR="003A1AA3" w:rsidRPr="00372C6B" w:rsidRDefault="003A1AA3" w:rsidP="000E4402">
            <w:pPr>
              <w:rPr>
                <w:rFonts w:ascii="Calibri" w:hAnsi="Calibri" w:cs="Calibri"/>
              </w:rPr>
            </w:pPr>
            <w:r w:rsidRPr="00372C6B">
              <w:rPr>
                <w:rFonts w:ascii="Calibri" w:hAnsi="Calibri" w:cs="Calibri"/>
              </w:rPr>
              <w:t>Cascading Failures in Power Grids, Risk Assessment, Modeling, and Simulation (Springer)</w:t>
            </w:r>
          </w:p>
        </w:tc>
        <w:tc>
          <w:tcPr>
            <w:tcW w:w="1440" w:type="dxa"/>
          </w:tcPr>
          <w:p w14:paraId="43BD65E5" w14:textId="77777777" w:rsidR="003A1AA3" w:rsidRPr="00372C6B" w:rsidRDefault="003A1AA3" w:rsidP="000E4402">
            <w:pPr>
              <w:rPr>
                <w:rFonts w:ascii="Calibri" w:hAnsi="Calibri" w:cs="Calibri"/>
              </w:rPr>
            </w:pPr>
            <w:r w:rsidRPr="00372C6B">
              <w:rPr>
                <w:rFonts w:ascii="Calibri" w:hAnsi="Calibri" w:cs="Calibri"/>
              </w:rPr>
              <w:t>Risk Assessment &amp; Modeling</w:t>
            </w:r>
          </w:p>
        </w:tc>
        <w:tc>
          <w:tcPr>
            <w:tcW w:w="3060" w:type="dxa"/>
          </w:tcPr>
          <w:p w14:paraId="53FAD284" w14:textId="77777777" w:rsidR="003A1AA3" w:rsidRPr="00372C6B" w:rsidRDefault="003A1AA3" w:rsidP="000E4402">
            <w:pPr>
              <w:rPr>
                <w:rFonts w:ascii="Calibri" w:hAnsi="Calibri" w:cs="Calibri"/>
              </w:rPr>
            </w:pPr>
            <w:r w:rsidRPr="00372C6B">
              <w:rPr>
                <w:rFonts w:ascii="Calibri" w:hAnsi="Calibri" w:cs="Calibri"/>
              </w:rPr>
              <w:t>Detailed coverage of risk assessment, modeling, and simulation for cascading failures.</w:t>
            </w:r>
          </w:p>
        </w:tc>
        <w:tc>
          <w:tcPr>
            <w:tcW w:w="2250" w:type="dxa"/>
          </w:tcPr>
          <w:p w14:paraId="586AF801" w14:textId="77777777" w:rsidR="003A1AA3" w:rsidRPr="00372C6B" w:rsidRDefault="003A1AA3" w:rsidP="000E4402">
            <w:pPr>
              <w:rPr>
                <w:rFonts w:ascii="Calibri" w:hAnsi="Calibri" w:cs="Calibri"/>
              </w:rPr>
            </w:pPr>
            <w:r w:rsidRPr="00372C6B">
              <w:rPr>
                <w:rFonts w:ascii="Calibri" w:hAnsi="Calibri" w:cs="Calibri"/>
              </w:rPr>
              <w:t>https://link.springer.com/book/10.1007/978-3-031-48000-3</w:t>
            </w:r>
          </w:p>
        </w:tc>
      </w:tr>
      <w:tr w:rsidR="003A1AA3" w:rsidRPr="00372C6B" w14:paraId="4CF72465" w14:textId="77777777" w:rsidTr="000E4402">
        <w:tc>
          <w:tcPr>
            <w:tcW w:w="625" w:type="dxa"/>
          </w:tcPr>
          <w:p w14:paraId="4C26FA70" w14:textId="77777777" w:rsidR="003A1AA3" w:rsidRPr="00372C6B" w:rsidRDefault="003A1AA3" w:rsidP="000E4402">
            <w:pPr>
              <w:rPr>
                <w:rFonts w:ascii="Calibri" w:hAnsi="Calibri" w:cs="Calibri"/>
              </w:rPr>
            </w:pPr>
            <w:r>
              <w:rPr>
                <w:rFonts w:ascii="Calibri" w:hAnsi="Calibri" w:cs="Calibri"/>
              </w:rPr>
              <w:t>23</w:t>
            </w:r>
          </w:p>
        </w:tc>
        <w:tc>
          <w:tcPr>
            <w:tcW w:w="2970" w:type="dxa"/>
          </w:tcPr>
          <w:p w14:paraId="0E627F9F" w14:textId="77777777" w:rsidR="003A1AA3" w:rsidRPr="00372C6B" w:rsidRDefault="003A1AA3" w:rsidP="000E4402">
            <w:pPr>
              <w:rPr>
                <w:rFonts w:ascii="Calibri" w:hAnsi="Calibri" w:cs="Calibri"/>
              </w:rPr>
            </w:pPr>
            <w:r w:rsidRPr="00372C6B">
              <w:rPr>
                <w:rFonts w:ascii="Calibri" w:hAnsi="Calibri" w:cs="Calibri"/>
              </w:rPr>
              <w:t>Recommended Oscillation Analysis for Monitoring and Mitigation Reference Document (NERC)</w:t>
            </w:r>
          </w:p>
        </w:tc>
        <w:tc>
          <w:tcPr>
            <w:tcW w:w="1440" w:type="dxa"/>
          </w:tcPr>
          <w:p w14:paraId="73C69D92" w14:textId="77777777" w:rsidR="003A1AA3" w:rsidRPr="00372C6B" w:rsidRDefault="003A1AA3" w:rsidP="000E4402">
            <w:pPr>
              <w:rPr>
                <w:rFonts w:ascii="Calibri" w:hAnsi="Calibri" w:cs="Calibri"/>
              </w:rPr>
            </w:pPr>
            <w:r w:rsidRPr="00372C6B">
              <w:rPr>
                <w:rFonts w:ascii="Calibri" w:hAnsi="Calibri" w:cs="Calibri"/>
              </w:rPr>
              <w:t>Oscillation Monitoring Guidance</w:t>
            </w:r>
          </w:p>
        </w:tc>
        <w:tc>
          <w:tcPr>
            <w:tcW w:w="3060" w:type="dxa"/>
          </w:tcPr>
          <w:p w14:paraId="2597EDB1" w14:textId="77777777" w:rsidR="003A1AA3" w:rsidRPr="00372C6B" w:rsidRDefault="003A1AA3" w:rsidP="000E4402">
            <w:pPr>
              <w:rPr>
                <w:rFonts w:ascii="Calibri" w:hAnsi="Calibri" w:cs="Calibri"/>
              </w:rPr>
            </w:pPr>
            <w:r w:rsidRPr="00372C6B">
              <w:rPr>
                <w:rFonts w:ascii="Calibri" w:hAnsi="Calibri" w:cs="Calibri"/>
              </w:rPr>
              <w:t>Provides recommended practices for monitoring and mitigating inter-area oscillations using synchrophasor data.</w:t>
            </w:r>
          </w:p>
        </w:tc>
        <w:tc>
          <w:tcPr>
            <w:tcW w:w="2250" w:type="dxa"/>
          </w:tcPr>
          <w:p w14:paraId="50865852" w14:textId="77777777" w:rsidR="003A1AA3" w:rsidRPr="00372C6B" w:rsidRDefault="003A1AA3" w:rsidP="000E4402">
            <w:pPr>
              <w:rPr>
                <w:rFonts w:ascii="Calibri" w:hAnsi="Calibri" w:cs="Calibri"/>
              </w:rPr>
            </w:pPr>
            <w:r w:rsidRPr="00372C6B">
              <w:rPr>
                <w:rFonts w:ascii="Calibri" w:hAnsi="Calibri" w:cs="Calibri"/>
              </w:rPr>
              <w:t>https://www.nerc.com/globalassets/who-we-are/standing-committees/rstc/smwg/oscillation_analysis_for_monitoring_and_mitigation_trd.pdf</w:t>
            </w:r>
          </w:p>
        </w:tc>
      </w:tr>
      <w:tr w:rsidR="003A1AA3" w:rsidRPr="00372C6B" w14:paraId="5D885D0A" w14:textId="77777777" w:rsidTr="000E4402">
        <w:tc>
          <w:tcPr>
            <w:tcW w:w="625" w:type="dxa"/>
          </w:tcPr>
          <w:p w14:paraId="403C1208" w14:textId="77777777" w:rsidR="003A1AA3" w:rsidRPr="00372C6B" w:rsidRDefault="003A1AA3" w:rsidP="000E4402">
            <w:pPr>
              <w:rPr>
                <w:rFonts w:ascii="Calibri" w:hAnsi="Calibri" w:cs="Calibri"/>
              </w:rPr>
            </w:pPr>
            <w:r>
              <w:rPr>
                <w:rFonts w:ascii="Calibri" w:hAnsi="Calibri" w:cs="Calibri"/>
              </w:rPr>
              <w:t>24</w:t>
            </w:r>
          </w:p>
        </w:tc>
        <w:tc>
          <w:tcPr>
            <w:tcW w:w="2970" w:type="dxa"/>
          </w:tcPr>
          <w:p w14:paraId="5B8C807D" w14:textId="77777777" w:rsidR="003A1AA3" w:rsidRPr="00372C6B" w:rsidRDefault="003A1AA3" w:rsidP="000E4402">
            <w:pPr>
              <w:rPr>
                <w:rFonts w:ascii="Calibri" w:hAnsi="Calibri" w:cs="Calibri"/>
              </w:rPr>
            </w:pPr>
            <w:r w:rsidRPr="00372C6B">
              <w:rPr>
                <w:rFonts w:ascii="Calibri" w:hAnsi="Calibri" w:cs="Calibri"/>
              </w:rPr>
              <w:t>Power Oscillation Damping Controllers for Grid-Forming Power Converters in Modern Power Systems (IEEE)</w:t>
            </w:r>
          </w:p>
        </w:tc>
        <w:tc>
          <w:tcPr>
            <w:tcW w:w="1440" w:type="dxa"/>
          </w:tcPr>
          <w:p w14:paraId="382A3578" w14:textId="77777777" w:rsidR="003A1AA3" w:rsidRPr="00372C6B" w:rsidRDefault="003A1AA3" w:rsidP="000E4402">
            <w:pPr>
              <w:rPr>
                <w:rFonts w:ascii="Calibri" w:hAnsi="Calibri" w:cs="Calibri"/>
              </w:rPr>
            </w:pPr>
            <w:r w:rsidRPr="00372C6B">
              <w:rPr>
                <w:rFonts w:ascii="Calibri" w:hAnsi="Calibri" w:cs="Calibri"/>
              </w:rPr>
              <w:t>POD Controllers</w:t>
            </w:r>
          </w:p>
        </w:tc>
        <w:tc>
          <w:tcPr>
            <w:tcW w:w="3060" w:type="dxa"/>
          </w:tcPr>
          <w:p w14:paraId="46521250" w14:textId="77777777" w:rsidR="003A1AA3" w:rsidRPr="00372C6B" w:rsidRDefault="003A1AA3" w:rsidP="000E4402">
            <w:pPr>
              <w:rPr>
                <w:rFonts w:ascii="Calibri" w:hAnsi="Calibri" w:cs="Calibri"/>
              </w:rPr>
            </w:pPr>
            <w:r w:rsidRPr="00372C6B">
              <w:rPr>
                <w:rFonts w:ascii="Calibri" w:hAnsi="Calibri" w:cs="Calibri"/>
              </w:rPr>
              <w:t>Explores POD controllers for modern grids and their role in damping oscillations.</w:t>
            </w:r>
          </w:p>
        </w:tc>
        <w:tc>
          <w:tcPr>
            <w:tcW w:w="2250" w:type="dxa"/>
          </w:tcPr>
          <w:p w14:paraId="5595591C" w14:textId="77777777" w:rsidR="003A1AA3" w:rsidRPr="00372C6B" w:rsidRDefault="003A1AA3" w:rsidP="000E4402">
            <w:pPr>
              <w:rPr>
                <w:rFonts w:ascii="Calibri" w:hAnsi="Calibri" w:cs="Calibri"/>
              </w:rPr>
            </w:pPr>
            <w:hyperlink r:id="rId24" w:history="1">
              <w:r w:rsidRPr="00372C6B">
                <w:rPr>
                  <w:rStyle w:val="Hyperlink"/>
                  <w:rFonts w:ascii="Calibri" w:hAnsi="Calibri" w:cs="Calibri"/>
                </w:rPr>
                <w:t>https://arxiv.org/pdf/2409.10726</w:t>
              </w:r>
            </w:hyperlink>
          </w:p>
        </w:tc>
      </w:tr>
      <w:tr w:rsidR="003A1AA3" w:rsidRPr="00372C6B" w14:paraId="6C3A295A" w14:textId="77777777" w:rsidTr="000E4402">
        <w:tc>
          <w:tcPr>
            <w:tcW w:w="625" w:type="dxa"/>
          </w:tcPr>
          <w:p w14:paraId="5366289D" w14:textId="77777777" w:rsidR="003A1AA3" w:rsidRPr="00372C6B" w:rsidRDefault="003A1AA3" w:rsidP="000E4402">
            <w:pPr>
              <w:rPr>
                <w:rFonts w:ascii="Calibri" w:hAnsi="Calibri" w:cs="Calibri"/>
              </w:rPr>
            </w:pPr>
            <w:r>
              <w:rPr>
                <w:rFonts w:ascii="Calibri" w:hAnsi="Calibri" w:cs="Calibri"/>
              </w:rPr>
              <w:t>25</w:t>
            </w:r>
          </w:p>
        </w:tc>
        <w:tc>
          <w:tcPr>
            <w:tcW w:w="2970" w:type="dxa"/>
          </w:tcPr>
          <w:p w14:paraId="11310307" w14:textId="77777777" w:rsidR="003A1AA3" w:rsidRPr="00372C6B" w:rsidRDefault="003A1AA3" w:rsidP="000E4402">
            <w:pPr>
              <w:rPr>
                <w:rFonts w:ascii="Calibri" w:hAnsi="Calibri" w:cs="Calibri"/>
              </w:rPr>
            </w:pPr>
            <w:r w:rsidRPr="00372C6B">
              <w:rPr>
                <w:rFonts w:ascii="Calibri" w:hAnsi="Calibri" w:cs="Calibri"/>
              </w:rPr>
              <w:t>Analysis and Damping Control of Power System Low-frequency Oscillations (Springer)</w:t>
            </w:r>
          </w:p>
        </w:tc>
        <w:tc>
          <w:tcPr>
            <w:tcW w:w="1440" w:type="dxa"/>
          </w:tcPr>
          <w:p w14:paraId="204DDDEA" w14:textId="77777777" w:rsidR="003A1AA3" w:rsidRPr="00372C6B" w:rsidRDefault="003A1AA3" w:rsidP="000E4402">
            <w:pPr>
              <w:rPr>
                <w:rFonts w:ascii="Calibri" w:hAnsi="Calibri" w:cs="Calibri"/>
              </w:rPr>
            </w:pPr>
            <w:r w:rsidRPr="00372C6B">
              <w:rPr>
                <w:rFonts w:ascii="Calibri" w:hAnsi="Calibri" w:cs="Calibri"/>
              </w:rPr>
              <w:t>Low-frequency Oscillation Control</w:t>
            </w:r>
          </w:p>
        </w:tc>
        <w:tc>
          <w:tcPr>
            <w:tcW w:w="3060" w:type="dxa"/>
          </w:tcPr>
          <w:p w14:paraId="66472097" w14:textId="77777777" w:rsidR="003A1AA3" w:rsidRPr="00372C6B" w:rsidRDefault="003A1AA3" w:rsidP="000E4402">
            <w:pPr>
              <w:rPr>
                <w:rFonts w:ascii="Calibri" w:hAnsi="Calibri" w:cs="Calibri"/>
              </w:rPr>
            </w:pPr>
            <w:r w:rsidRPr="00372C6B">
              <w:rPr>
                <w:rFonts w:ascii="Calibri" w:hAnsi="Calibri" w:cs="Calibri"/>
              </w:rPr>
              <w:t>Detailed methods for damping control in power systems.</w:t>
            </w:r>
          </w:p>
        </w:tc>
        <w:tc>
          <w:tcPr>
            <w:tcW w:w="2250" w:type="dxa"/>
          </w:tcPr>
          <w:p w14:paraId="51BA1EBD" w14:textId="77777777" w:rsidR="003A1AA3" w:rsidRPr="00372C6B" w:rsidRDefault="003A1AA3" w:rsidP="000E4402">
            <w:pPr>
              <w:rPr>
                <w:rFonts w:ascii="Calibri" w:hAnsi="Calibri" w:cs="Calibri"/>
              </w:rPr>
            </w:pPr>
            <w:r w:rsidRPr="00372C6B">
              <w:rPr>
                <w:rFonts w:ascii="Calibri" w:hAnsi="Calibri" w:cs="Calibri"/>
              </w:rPr>
              <w:t>https://link.springer.com/book/10.1007/978-1-4899-7696-3</w:t>
            </w:r>
          </w:p>
        </w:tc>
      </w:tr>
      <w:tr w:rsidR="003A1AA3" w:rsidRPr="00372C6B" w14:paraId="33637D19" w14:textId="77777777" w:rsidTr="000E4402">
        <w:tc>
          <w:tcPr>
            <w:tcW w:w="625" w:type="dxa"/>
          </w:tcPr>
          <w:p w14:paraId="0E5142BB" w14:textId="77777777" w:rsidR="003A1AA3" w:rsidRPr="00372C6B" w:rsidRDefault="003A1AA3" w:rsidP="000E4402">
            <w:pPr>
              <w:rPr>
                <w:rFonts w:ascii="Calibri" w:hAnsi="Calibri" w:cs="Calibri"/>
              </w:rPr>
            </w:pPr>
            <w:r>
              <w:rPr>
                <w:rFonts w:ascii="Calibri" w:hAnsi="Calibri" w:cs="Calibri"/>
              </w:rPr>
              <w:t>26</w:t>
            </w:r>
          </w:p>
        </w:tc>
        <w:tc>
          <w:tcPr>
            <w:tcW w:w="2970" w:type="dxa"/>
          </w:tcPr>
          <w:p w14:paraId="5E79BC19" w14:textId="77777777" w:rsidR="003A1AA3" w:rsidRPr="00372C6B" w:rsidRDefault="003A1AA3" w:rsidP="000E4402">
            <w:pPr>
              <w:rPr>
                <w:rFonts w:ascii="Calibri" w:hAnsi="Calibri" w:cs="Calibri"/>
              </w:rPr>
            </w:pPr>
            <w:r w:rsidRPr="00372C6B">
              <w:rPr>
                <w:rFonts w:ascii="Calibri" w:hAnsi="Calibri" w:cs="Calibri"/>
              </w:rPr>
              <w:t>Power System Oscillations: An Introduction to Oscillation Analysis and Control (Springer)</w:t>
            </w:r>
          </w:p>
        </w:tc>
        <w:tc>
          <w:tcPr>
            <w:tcW w:w="1440" w:type="dxa"/>
          </w:tcPr>
          <w:p w14:paraId="7F3205D0" w14:textId="77777777" w:rsidR="003A1AA3" w:rsidRPr="00372C6B" w:rsidRDefault="003A1AA3" w:rsidP="000E4402">
            <w:pPr>
              <w:rPr>
                <w:rFonts w:ascii="Calibri" w:hAnsi="Calibri" w:cs="Calibri"/>
              </w:rPr>
            </w:pPr>
            <w:r w:rsidRPr="00372C6B">
              <w:rPr>
                <w:rFonts w:ascii="Calibri" w:hAnsi="Calibri" w:cs="Calibri"/>
              </w:rPr>
              <w:t>Oscillation Analysis &amp; Control</w:t>
            </w:r>
          </w:p>
        </w:tc>
        <w:tc>
          <w:tcPr>
            <w:tcW w:w="3060" w:type="dxa"/>
          </w:tcPr>
          <w:p w14:paraId="3D15EAA2" w14:textId="77777777" w:rsidR="003A1AA3" w:rsidRPr="00372C6B" w:rsidRDefault="003A1AA3" w:rsidP="000E4402">
            <w:pPr>
              <w:rPr>
                <w:rFonts w:ascii="Calibri" w:hAnsi="Calibri" w:cs="Calibri"/>
              </w:rPr>
            </w:pPr>
            <w:r w:rsidRPr="00372C6B">
              <w:rPr>
                <w:rFonts w:ascii="Calibri" w:hAnsi="Calibri" w:cs="Calibri"/>
              </w:rPr>
              <w:t>Comprehensive textbook covering oscillation analysis and control techniques.</w:t>
            </w:r>
          </w:p>
        </w:tc>
        <w:tc>
          <w:tcPr>
            <w:tcW w:w="2250" w:type="dxa"/>
          </w:tcPr>
          <w:p w14:paraId="0CD71C40" w14:textId="77777777" w:rsidR="003A1AA3" w:rsidRPr="00372C6B" w:rsidRDefault="003A1AA3" w:rsidP="000E4402">
            <w:pPr>
              <w:rPr>
                <w:rFonts w:ascii="Calibri" w:hAnsi="Calibri" w:cs="Calibri"/>
              </w:rPr>
            </w:pPr>
            <w:r w:rsidRPr="00372C6B">
              <w:rPr>
                <w:rFonts w:ascii="Calibri" w:hAnsi="Calibri" w:cs="Calibri"/>
              </w:rPr>
              <w:t>https://content.e-bookshelf.de/media/reading/L-25462199-70d0c00537.pdf</w:t>
            </w:r>
          </w:p>
        </w:tc>
      </w:tr>
      <w:tr w:rsidR="003A1AA3" w:rsidRPr="00372C6B" w14:paraId="33CCF76E" w14:textId="77777777" w:rsidTr="000E4402">
        <w:tc>
          <w:tcPr>
            <w:tcW w:w="625" w:type="dxa"/>
          </w:tcPr>
          <w:p w14:paraId="0AC2E441" w14:textId="77777777" w:rsidR="003A1AA3" w:rsidRPr="00372C6B" w:rsidRDefault="003A1AA3" w:rsidP="000E4402">
            <w:pPr>
              <w:rPr>
                <w:rFonts w:ascii="Calibri" w:hAnsi="Calibri" w:cs="Calibri"/>
              </w:rPr>
            </w:pPr>
            <w:r>
              <w:rPr>
                <w:rFonts w:ascii="Calibri" w:hAnsi="Calibri" w:cs="Calibri"/>
              </w:rPr>
              <w:t>27</w:t>
            </w:r>
          </w:p>
        </w:tc>
        <w:tc>
          <w:tcPr>
            <w:tcW w:w="2970" w:type="dxa"/>
          </w:tcPr>
          <w:p w14:paraId="71BB3F9E" w14:textId="77777777" w:rsidR="003A1AA3" w:rsidRPr="00372C6B" w:rsidRDefault="003A1AA3" w:rsidP="000E4402">
            <w:pPr>
              <w:rPr>
                <w:rFonts w:ascii="Calibri" w:hAnsi="Calibri" w:cs="Calibri"/>
              </w:rPr>
            </w:pPr>
            <w:r w:rsidRPr="00372C6B">
              <w:rPr>
                <w:rFonts w:ascii="Calibri" w:hAnsi="Calibri" w:cs="Calibri"/>
              </w:rPr>
              <w:t>Disturbance Performance Requirements (SPP)</w:t>
            </w:r>
          </w:p>
        </w:tc>
        <w:tc>
          <w:tcPr>
            <w:tcW w:w="1440" w:type="dxa"/>
          </w:tcPr>
          <w:p w14:paraId="37847E78" w14:textId="77777777" w:rsidR="003A1AA3" w:rsidRPr="00372C6B" w:rsidRDefault="003A1AA3" w:rsidP="000E4402">
            <w:pPr>
              <w:rPr>
                <w:rFonts w:ascii="Calibri" w:hAnsi="Calibri" w:cs="Calibri"/>
              </w:rPr>
            </w:pPr>
            <w:r w:rsidRPr="00372C6B">
              <w:rPr>
                <w:rFonts w:ascii="Calibri" w:hAnsi="Calibri" w:cs="Calibri"/>
              </w:rPr>
              <w:t>Regional Criteria for Damping</w:t>
            </w:r>
          </w:p>
        </w:tc>
        <w:tc>
          <w:tcPr>
            <w:tcW w:w="3060" w:type="dxa"/>
          </w:tcPr>
          <w:p w14:paraId="70F494FC" w14:textId="77777777" w:rsidR="003A1AA3" w:rsidRPr="00372C6B" w:rsidRDefault="003A1AA3" w:rsidP="000E4402">
            <w:pPr>
              <w:rPr>
                <w:rFonts w:ascii="Calibri" w:hAnsi="Calibri" w:cs="Calibri"/>
              </w:rPr>
            </w:pPr>
            <w:r w:rsidRPr="00372C6B">
              <w:rPr>
                <w:rFonts w:ascii="Calibri" w:hAnsi="Calibri" w:cs="Calibri"/>
              </w:rPr>
              <w:t>Specifies that machine rotor angles must exhibit well-damped oscillations after disturbances for all NERC-defined contingency events (P1–P7); sets thresholds for rotor angle deviations and damping performance.</w:t>
            </w:r>
          </w:p>
        </w:tc>
        <w:tc>
          <w:tcPr>
            <w:tcW w:w="2250" w:type="dxa"/>
          </w:tcPr>
          <w:p w14:paraId="72048E1E" w14:textId="77777777" w:rsidR="003A1AA3" w:rsidRPr="00372C6B" w:rsidRDefault="003A1AA3" w:rsidP="000E4402">
            <w:pPr>
              <w:rPr>
                <w:rFonts w:ascii="Calibri" w:hAnsi="Calibri" w:cs="Calibri"/>
              </w:rPr>
            </w:pPr>
            <w:hyperlink r:id="rId25" w:history="1">
              <w:r w:rsidRPr="003E10F7">
                <w:rPr>
                  <w:rStyle w:val="Hyperlink"/>
                  <w:rFonts w:ascii="Calibri" w:hAnsi="Calibri" w:cs="Calibri"/>
                </w:rPr>
                <w:t>https://www.spp.org/documents/28859/spp%20disturbance%20performance%20requirements%20%28twg%20approved%29.pdf</w:t>
              </w:r>
            </w:hyperlink>
          </w:p>
        </w:tc>
      </w:tr>
      <w:tr w:rsidR="003A1AA3" w:rsidRPr="00372C6B" w14:paraId="6ECE5487" w14:textId="77777777" w:rsidTr="000E4402">
        <w:tc>
          <w:tcPr>
            <w:tcW w:w="625" w:type="dxa"/>
          </w:tcPr>
          <w:p w14:paraId="593D0B67" w14:textId="77777777" w:rsidR="003A1AA3" w:rsidRDefault="003A1AA3" w:rsidP="000E4402">
            <w:pPr>
              <w:rPr>
                <w:rFonts w:ascii="Calibri" w:hAnsi="Calibri" w:cs="Calibri"/>
              </w:rPr>
            </w:pPr>
            <w:r>
              <w:rPr>
                <w:rFonts w:ascii="Calibri" w:hAnsi="Calibri" w:cs="Calibri"/>
              </w:rPr>
              <w:t>28</w:t>
            </w:r>
          </w:p>
        </w:tc>
        <w:tc>
          <w:tcPr>
            <w:tcW w:w="2970" w:type="dxa"/>
          </w:tcPr>
          <w:p w14:paraId="15EB6375" w14:textId="77777777" w:rsidR="003A1AA3" w:rsidRPr="00372C6B" w:rsidRDefault="003A1AA3" w:rsidP="000E4402">
            <w:pPr>
              <w:rPr>
                <w:rFonts w:ascii="Calibri" w:hAnsi="Calibri" w:cs="Calibri"/>
              </w:rPr>
            </w:pPr>
            <w:r w:rsidRPr="005B175F">
              <w:rPr>
                <w:rFonts w:ascii="Calibri" w:hAnsi="Calibri" w:cs="Calibri"/>
              </w:rPr>
              <w:t>Inverter-Based Resource Disturbances in the Western Interconnection</w:t>
            </w:r>
            <w:r>
              <w:rPr>
                <w:rFonts w:ascii="Calibri" w:hAnsi="Calibri" w:cs="Calibri"/>
              </w:rPr>
              <w:t xml:space="preserve">: </w:t>
            </w:r>
            <w:r w:rsidRPr="005B175F">
              <w:rPr>
                <w:rFonts w:ascii="Calibri" w:hAnsi="Calibri" w:cs="Calibri"/>
              </w:rPr>
              <w:t>CAISO, NERC, and WECC Staff Report</w:t>
            </w:r>
          </w:p>
        </w:tc>
        <w:tc>
          <w:tcPr>
            <w:tcW w:w="1440" w:type="dxa"/>
          </w:tcPr>
          <w:p w14:paraId="02534EB5" w14:textId="77777777" w:rsidR="003A1AA3" w:rsidRPr="00372C6B" w:rsidRDefault="003A1AA3" w:rsidP="000E4402">
            <w:pPr>
              <w:rPr>
                <w:rFonts w:ascii="Calibri" w:hAnsi="Calibri" w:cs="Calibri"/>
              </w:rPr>
            </w:pPr>
            <w:r w:rsidRPr="005B175F">
              <w:rPr>
                <w:rFonts w:ascii="Calibri" w:hAnsi="Calibri" w:cs="Calibri"/>
              </w:rPr>
              <w:t>Inverter-Based Resource Disturbances</w:t>
            </w:r>
          </w:p>
        </w:tc>
        <w:tc>
          <w:tcPr>
            <w:tcW w:w="3060" w:type="dxa"/>
          </w:tcPr>
          <w:p w14:paraId="50FF2901" w14:textId="77777777" w:rsidR="003A1AA3" w:rsidRPr="00372C6B" w:rsidRDefault="003A1AA3" w:rsidP="000E4402">
            <w:pPr>
              <w:rPr>
                <w:rFonts w:ascii="Calibri" w:hAnsi="Calibri" w:cs="Calibri"/>
              </w:rPr>
            </w:pPr>
            <w:r w:rsidRPr="005B175F">
              <w:rPr>
                <w:rFonts w:ascii="Calibri" w:hAnsi="Calibri" w:cs="Calibri"/>
              </w:rPr>
              <w:t>Documents four WECC events involving solar, wind, and BESS generation reductions following normally-cleared faults.</w:t>
            </w:r>
          </w:p>
        </w:tc>
        <w:tc>
          <w:tcPr>
            <w:tcW w:w="2250" w:type="dxa"/>
          </w:tcPr>
          <w:p w14:paraId="67D4EE7E" w14:textId="77777777" w:rsidR="003A1AA3" w:rsidRDefault="003A1AA3" w:rsidP="000E4402">
            <w:pPr>
              <w:rPr>
                <w:rFonts w:ascii="Calibri" w:hAnsi="Calibri" w:cs="Calibri"/>
              </w:rPr>
            </w:pPr>
            <w:hyperlink r:id="rId26" w:history="1">
              <w:r w:rsidRPr="003E10F7">
                <w:rPr>
                  <w:rStyle w:val="Hyperlink"/>
                  <w:rFonts w:ascii="Calibri" w:hAnsi="Calibri" w:cs="Calibri"/>
                </w:rPr>
                <w:t>https://www.wecc.org/sites/default/files/documents/progress_report/2025/Inverter-Based%20Resource</w:t>
              </w:r>
              <w:r w:rsidRPr="003E10F7">
                <w:rPr>
                  <w:rStyle w:val="Hyperlink"/>
                  <w:rFonts w:ascii="Calibri" w:hAnsi="Calibri" w:cs="Calibri"/>
                </w:rPr>
                <w:lastRenderedPageBreak/>
                <w:t>%20Disturbances%20in%20the%20Western%20Interconnection%2011.5.2025.pdf</w:t>
              </w:r>
            </w:hyperlink>
          </w:p>
        </w:tc>
      </w:tr>
      <w:tr w:rsidR="003A1AA3" w:rsidRPr="00372C6B" w14:paraId="77E888C1" w14:textId="77777777" w:rsidTr="000E4402">
        <w:tc>
          <w:tcPr>
            <w:tcW w:w="625" w:type="dxa"/>
          </w:tcPr>
          <w:p w14:paraId="7C8DA970" w14:textId="77777777" w:rsidR="003A1AA3" w:rsidRDefault="003A1AA3" w:rsidP="000E4402">
            <w:pPr>
              <w:rPr>
                <w:rFonts w:ascii="Calibri" w:hAnsi="Calibri" w:cs="Calibri"/>
              </w:rPr>
            </w:pPr>
            <w:r>
              <w:rPr>
                <w:rFonts w:ascii="Calibri" w:hAnsi="Calibri" w:cs="Calibri"/>
              </w:rPr>
              <w:lastRenderedPageBreak/>
              <w:t>29</w:t>
            </w:r>
          </w:p>
        </w:tc>
        <w:tc>
          <w:tcPr>
            <w:tcW w:w="2970" w:type="dxa"/>
          </w:tcPr>
          <w:p w14:paraId="61AA2B31" w14:textId="77777777" w:rsidR="003A1AA3" w:rsidRPr="005B175F" w:rsidRDefault="003A1AA3" w:rsidP="000E4402">
            <w:pPr>
              <w:rPr>
                <w:rFonts w:ascii="Calibri" w:hAnsi="Calibri" w:cs="Calibri"/>
              </w:rPr>
            </w:pPr>
            <w:r>
              <w:rPr>
                <w:rFonts w:ascii="Calibri" w:hAnsi="Calibri" w:cs="Calibri"/>
              </w:rPr>
              <w:t xml:space="preserve">Lessons Learned: </w:t>
            </w:r>
            <w:r w:rsidRPr="005B175F">
              <w:rPr>
                <w:rFonts w:ascii="Calibri" w:hAnsi="Calibri" w:cs="Calibri"/>
              </w:rPr>
              <w:t>IBR Control Interactions and Oscillatory Events</w:t>
            </w:r>
            <w:r>
              <w:rPr>
                <w:rFonts w:ascii="Calibri" w:hAnsi="Calibri" w:cs="Calibri"/>
              </w:rPr>
              <w:t xml:space="preserve"> (NERC)</w:t>
            </w:r>
          </w:p>
        </w:tc>
        <w:tc>
          <w:tcPr>
            <w:tcW w:w="1440" w:type="dxa"/>
          </w:tcPr>
          <w:p w14:paraId="5847DA3B" w14:textId="77777777" w:rsidR="003A1AA3" w:rsidRPr="005B175F" w:rsidRDefault="003A1AA3" w:rsidP="000E4402">
            <w:pPr>
              <w:rPr>
                <w:rFonts w:ascii="Calibri" w:hAnsi="Calibri" w:cs="Calibri"/>
              </w:rPr>
            </w:pPr>
            <w:r w:rsidRPr="005B175F">
              <w:rPr>
                <w:rFonts w:ascii="Calibri" w:hAnsi="Calibri" w:cs="Calibri"/>
              </w:rPr>
              <w:t>IBR Control</w:t>
            </w:r>
            <w:r>
              <w:rPr>
                <w:rFonts w:ascii="Calibri" w:hAnsi="Calibri" w:cs="Calibri"/>
              </w:rPr>
              <w:t>ler</w:t>
            </w:r>
            <w:r w:rsidRPr="005B175F">
              <w:rPr>
                <w:rFonts w:ascii="Calibri" w:hAnsi="Calibri" w:cs="Calibri"/>
              </w:rPr>
              <w:t xml:space="preserve"> </w:t>
            </w:r>
            <w:r>
              <w:rPr>
                <w:rFonts w:ascii="Calibri" w:hAnsi="Calibri" w:cs="Calibri"/>
              </w:rPr>
              <w:t>Oscillations</w:t>
            </w:r>
          </w:p>
        </w:tc>
        <w:tc>
          <w:tcPr>
            <w:tcW w:w="3060" w:type="dxa"/>
          </w:tcPr>
          <w:p w14:paraId="578BE4B2" w14:textId="77777777" w:rsidR="003A1AA3" w:rsidRPr="005B175F" w:rsidRDefault="003A1AA3" w:rsidP="000E4402">
            <w:pPr>
              <w:rPr>
                <w:rFonts w:ascii="Calibri" w:hAnsi="Calibri" w:cs="Calibri"/>
              </w:rPr>
            </w:pPr>
            <w:r>
              <w:rPr>
                <w:rFonts w:ascii="Calibri" w:hAnsi="Calibri" w:cs="Calibri"/>
              </w:rPr>
              <w:t>Describes</w:t>
            </w:r>
            <w:r w:rsidRPr="005B175F">
              <w:rPr>
                <w:rFonts w:ascii="Calibri" w:hAnsi="Calibri" w:cs="Calibri"/>
              </w:rPr>
              <w:t xml:space="preserve"> BESS/PV controller oscillation event detected by RC-wide monitoring systems</w:t>
            </w:r>
            <w:r>
              <w:rPr>
                <w:rFonts w:ascii="Calibri" w:hAnsi="Calibri" w:cs="Calibri"/>
              </w:rPr>
              <w:t xml:space="preserve"> and discusses lessons learned</w:t>
            </w:r>
            <w:r w:rsidRPr="005B175F">
              <w:rPr>
                <w:rFonts w:ascii="Calibri" w:hAnsi="Calibri" w:cs="Calibri"/>
              </w:rPr>
              <w:t>.</w:t>
            </w:r>
          </w:p>
        </w:tc>
        <w:tc>
          <w:tcPr>
            <w:tcW w:w="2250" w:type="dxa"/>
          </w:tcPr>
          <w:p w14:paraId="2CD163A5" w14:textId="77777777" w:rsidR="003A1AA3" w:rsidRDefault="003A1AA3" w:rsidP="000E4402">
            <w:pPr>
              <w:rPr>
                <w:rFonts w:ascii="Calibri" w:hAnsi="Calibri" w:cs="Calibri"/>
              </w:rPr>
            </w:pPr>
            <w:hyperlink r:id="rId27" w:history="1">
              <w:r w:rsidRPr="00B32E6C">
                <w:rPr>
                  <w:rStyle w:val="Hyperlink"/>
                  <w:rFonts w:ascii="Calibri" w:hAnsi="Calibri" w:cs="Calibri"/>
                </w:rPr>
                <w:t>https://www.nerc.com/globalassets/programs/event-analysis/ll20250901_ibr_controls_oscillation_events.pdf</w:t>
              </w:r>
            </w:hyperlink>
          </w:p>
        </w:tc>
      </w:tr>
      <w:tr w:rsidR="003A1AA3" w:rsidRPr="00372C6B" w14:paraId="7A74FE8E" w14:textId="77777777" w:rsidTr="000E4402">
        <w:tc>
          <w:tcPr>
            <w:tcW w:w="625" w:type="dxa"/>
          </w:tcPr>
          <w:p w14:paraId="2ED34FD2" w14:textId="77777777" w:rsidR="003A1AA3" w:rsidRDefault="003A1AA3" w:rsidP="000E4402">
            <w:pPr>
              <w:rPr>
                <w:rFonts w:ascii="Calibri" w:hAnsi="Calibri" w:cs="Calibri"/>
              </w:rPr>
            </w:pPr>
            <w:r>
              <w:rPr>
                <w:rFonts w:ascii="Calibri" w:hAnsi="Calibri" w:cs="Calibri"/>
              </w:rPr>
              <w:t>30</w:t>
            </w:r>
          </w:p>
        </w:tc>
        <w:tc>
          <w:tcPr>
            <w:tcW w:w="2970" w:type="dxa"/>
          </w:tcPr>
          <w:p w14:paraId="7BAA00EE" w14:textId="77777777" w:rsidR="003A1AA3" w:rsidRDefault="003A1AA3" w:rsidP="000E4402">
            <w:pPr>
              <w:rPr>
                <w:rFonts w:ascii="Calibri" w:hAnsi="Calibri" w:cs="Calibri"/>
              </w:rPr>
            </w:pPr>
            <w:r w:rsidRPr="00D93BE9">
              <w:rPr>
                <w:rFonts w:ascii="Calibri" w:hAnsi="Calibri" w:cs="Calibri"/>
              </w:rPr>
              <w:t>Large Computational Load Risks Due to Voltage Sensitivity</w:t>
            </w:r>
            <w:r>
              <w:rPr>
                <w:rFonts w:ascii="Calibri" w:hAnsi="Calibri" w:cs="Calibri"/>
              </w:rPr>
              <w:t xml:space="preserve"> (NERC)</w:t>
            </w:r>
          </w:p>
        </w:tc>
        <w:tc>
          <w:tcPr>
            <w:tcW w:w="1440" w:type="dxa"/>
          </w:tcPr>
          <w:p w14:paraId="43F29BE7" w14:textId="77777777" w:rsidR="003A1AA3" w:rsidRPr="005B175F" w:rsidRDefault="003A1AA3" w:rsidP="000E4402">
            <w:pPr>
              <w:rPr>
                <w:rFonts w:ascii="Calibri" w:hAnsi="Calibri" w:cs="Calibri"/>
              </w:rPr>
            </w:pPr>
            <w:r w:rsidRPr="00D93BE9">
              <w:rPr>
                <w:rFonts w:ascii="Calibri" w:hAnsi="Calibri" w:cs="Calibri"/>
              </w:rPr>
              <w:t>Large Computational Load</w:t>
            </w:r>
            <w:r>
              <w:rPr>
                <w:rFonts w:ascii="Calibri" w:hAnsi="Calibri" w:cs="Calibri"/>
              </w:rPr>
              <w:t>s</w:t>
            </w:r>
          </w:p>
        </w:tc>
        <w:tc>
          <w:tcPr>
            <w:tcW w:w="3060" w:type="dxa"/>
          </w:tcPr>
          <w:p w14:paraId="4D53C70E" w14:textId="77777777" w:rsidR="003A1AA3" w:rsidRPr="00712718" w:rsidRDefault="003A1AA3" w:rsidP="000E4402">
            <w:pPr>
              <w:rPr>
                <w:rFonts w:ascii="Calibri" w:hAnsi="Calibri" w:cs="Calibri"/>
              </w:rPr>
            </w:pPr>
            <w:r>
              <w:rPr>
                <w:rFonts w:ascii="Calibri" w:hAnsi="Calibri" w:cs="Calibri"/>
              </w:rPr>
              <w:t xml:space="preserve">Lists several </w:t>
            </w:r>
            <w:r w:rsidRPr="00712718">
              <w:rPr>
                <w:rFonts w:ascii="Calibri" w:hAnsi="Calibri" w:cs="Calibri"/>
              </w:rPr>
              <w:t>voltage-sensitive</w:t>
            </w:r>
            <w:r>
              <w:rPr>
                <w:rFonts w:ascii="Calibri" w:hAnsi="Calibri" w:cs="Calibri"/>
              </w:rPr>
              <w:t xml:space="preserve"> </w:t>
            </w:r>
            <w:r w:rsidRPr="00712718">
              <w:rPr>
                <w:rFonts w:ascii="Calibri" w:hAnsi="Calibri" w:cs="Calibri"/>
              </w:rPr>
              <w:t>customer-initiated load reduction</w:t>
            </w:r>
            <w:r>
              <w:rPr>
                <w:rFonts w:ascii="Calibri" w:hAnsi="Calibri" w:cs="Calibri"/>
              </w:rPr>
              <w:t xml:space="preserve"> events</w:t>
            </w:r>
            <w:r w:rsidRPr="00712718">
              <w:rPr>
                <w:rFonts w:ascii="Calibri" w:hAnsi="Calibri" w:cs="Calibri"/>
              </w:rPr>
              <w:t xml:space="preserve"> </w:t>
            </w:r>
            <w:r>
              <w:rPr>
                <w:rFonts w:ascii="Calibri" w:hAnsi="Calibri" w:cs="Calibri"/>
              </w:rPr>
              <w:t xml:space="preserve">that </w:t>
            </w:r>
            <w:r w:rsidRPr="00712718">
              <w:rPr>
                <w:rFonts w:ascii="Calibri" w:hAnsi="Calibri" w:cs="Calibri"/>
              </w:rPr>
              <w:t>have</w:t>
            </w:r>
            <w:r>
              <w:rPr>
                <w:rFonts w:ascii="Calibri" w:hAnsi="Calibri" w:cs="Calibri"/>
              </w:rPr>
              <w:t xml:space="preserve"> </w:t>
            </w:r>
            <w:r w:rsidRPr="00712718">
              <w:rPr>
                <w:rFonts w:ascii="Calibri" w:hAnsi="Calibri" w:cs="Calibri"/>
              </w:rPr>
              <w:t>occurred in the Eastern Interconnection and</w:t>
            </w:r>
          </w:p>
          <w:p w14:paraId="220851A2" w14:textId="77777777" w:rsidR="003A1AA3" w:rsidRPr="00712718" w:rsidRDefault="003A1AA3" w:rsidP="000E4402">
            <w:pPr>
              <w:rPr>
                <w:rFonts w:ascii="Calibri" w:hAnsi="Calibri" w:cs="Calibri"/>
              </w:rPr>
            </w:pPr>
            <w:r w:rsidRPr="00712718">
              <w:rPr>
                <w:rFonts w:ascii="Calibri" w:hAnsi="Calibri" w:cs="Calibri"/>
              </w:rPr>
              <w:t>the Electric Reliability Council of Texas</w:t>
            </w:r>
          </w:p>
          <w:p w14:paraId="34307CC2" w14:textId="77777777" w:rsidR="003A1AA3" w:rsidRDefault="003A1AA3" w:rsidP="000E4402">
            <w:pPr>
              <w:rPr>
                <w:rFonts w:ascii="Calibri" w:hAnsi="Calibri" w:cs="Calibri"/>
              </w:rPr>
            </w:pPr>
            <w:r w:rsidRPr="00712718">
              <w:rPr>
                <w:rFonts w:ascii="Calibri" w:hAnsi="Calibri" w:cs="Calibri"/>
              </w:rPr>
              <w:t>(ERCOT) over the past two years</w:t>
            </w:r>
            <w:r>
              <w:rPr>
                <w:rFonts w:ascii="Calibri" w:hAnsi="Calibri" w:cs="Calibri"/>
              </w:rPr>
              <w:t xml:space="preserve">, as well addresses the need for mitigation plans </w:t>
            </w:r>
            <w:r w:rsidRPr="00712718">
              <w:rPr>
                <w:rFonts w:ascii="Calibri" w:hAnsi="Calibri" w:cs="Calibri"/>
              </w:rPr>
              <w:t>.</w:t>
            </w:r>
          </w:p>
        </w:tc>
        <w:tc>
          <w:tcPr>
            <w:tcW w:w="2250" w:type="dxa"/>
          </w:tcPr>
          <w:p w14:paraId="432EEE33" w14:textId="77777777" w:rsidR="003A1AA3" w:rsidRDefault="003A1AA3" w:rsidP="000E4402">
            <w:pPr>
              <w:rPr>
                <w:rFonts w:ascii="Calibri" w:hAnsi="Calibri" w:cs="Calibri"/>
              </w:rPr>
            </w:pPr>
            <w:r w:rsidRPr="006E4C83">
              <w:rPr>
                <w:rFonts w:ascii="Calibri" w:hAnsi="Calibri" w:cs="Calibri"/>
              </w:rPr>
              <w:t>https://www.nerc.com/globalassets/who-we-are/news/2026/09/reliability-insights_large-computational-load-risks-due-to-voltage-sensitivity.pdf</w:t>
            </w:r>
          </w:p>
        </w:tc>
      </w:tr>
      <w:tr w:rsidR="003A1AA3" w:rsidRPr="00372C6B" w14:paraId="7835595E" w14:textId="77777777" w:rsidTr="000E4402">
        <w:tc>
          <w:tcPr>
            <w:tcW w:w="625" w:type="dxa"/>
          </w:tcPr>
          <w:p w14:paraId="75567A3B" w14:textId="77777777" w:rsidR="003A1AA3" w:rsidRDefault="003A1AA3" w:rsidP="000E4402">
            <w:pPr>
              <w:rPr>
                <w:rFonts w:ascii="Calibri" w:hAnsi="Calibri" w:cs="Calibri"/>
              </w:rPr>
            </w:pPr>
            <w:r>
              <w:rPr>
                <w:rFonts w:ascii="Calibri" w:hAnsi="Calibri" w:cs="Calibri"/>
              </w:rPr>
              <w:t>31</w:t>
            </w:r>
          </w:p>
        </w:tc>
        <w:tc>
          <w:tcPr>
            <w:tcW w:w="2970" w:type="dxa"/>
          </w:tcPr>
          <w:p w14:paraId="119C11F6" w14:textId="77777777" w:rsidR="003A1AA3" w:rsidRDefault="003A1AA3" w:rsidP="000E4402">
            <w:pPr>
              <w:rPr>
                <w:rFonts w:ascii="Calibri" w:hAnsi="Calibri" w:cs="Calibri"/>
              </w:rPr>
            </w:pPr>
            <w:r w:rsidRPr="005B532F">
              <w:rPr>
                <w:rFonts w:ascii="Calibri" w:hAnsi="Calibri" w:cs="Calibri"/>
              </w:rPr>
              <w:t>Project 2026-02 Computational Loads</w:t>
            </w:r>
            <w:r>
              <w:rPr>
                <w:rFonts w:ascii="Calibri" w:hAnsi="Calibri" w:cs="Calibri"/>
              </w:rPr>
              <w:t xml:space="preserve"> (NERC)</w:t>
            </w:r>
          </w:p>
        </w:tc>
        <w:tc>
          <w:tcPr>
            <w:tcW w:w="1440" w:type="dxa"/>
          </w:tcPr>
          <w:p w14:paraId="2B69CCD5" w14:textId="77777777" w:rsidR="003A1AA3" w:rsidRPr="005B175F" w:rsidRDefault="003A1AA3" w:rsidP="000E4402">
            <w:pPr>
              <w:rPr>
                <w:rFonts w:ascii="Calibri" w:hAnsi="Calibri" w:cs="Calibri"/>
              </w:rPr>
            </w:pPr>
            <w:r>
              <w:rPr>
                <w:rFonts w:ascii="Calibri" w:hAnsi="Calibri" w:cs="Calibri"/>
              </w:rPr>
              <w:t xml:space="preserve">Standard for </w:t>
            </w:r>
            <w:r w:rsidRPr="005B532F">
              <w:rPr>
                <w:rFonts w:ascii="Calibri" w:hAnsi="Calibri" w:cs="Calibri"/>
              </w:rPr>
              <w:t>Computational Load Protection Coordination &amp; Disturbance Monitoring</w:t>
            </w:r>
          </w:p>
        </w:tc>
        <w:tc>
          <w:tcPr>
            <w:tcW w:w="3060" w:type="dxa"/>
          </w:tcPr>
          <w:p w14:paraId="14E3BF47" w14:textId="77777777" w:rsidR="003A1AA3" w:rsidRDefault="003A1AA3" w:rsidP="000E4402">
            <w:pPr>
              <w:rPr>
                <w:rFonts w:ascii="Calibri" w:hAnsi="Calibri" w:cs="Calibri"/>
              </w:rPr>
            </w:pPr>
            <w:r w:rsidRPr="005B532F">
              <w:rPr>
                <w:rFonts w:ascii="Calibri" w:hAnsi="Calibri" w:cs="Calibri"/>
              </w:rPr>
              <w:t xml:space="preserve">NERC </w:t>
            </w:r>
            <w:r>
              <w:rPr>
                <w:rFonts w:ascii="Calibri" w:hAnsi="Calibri" w:cs="Calibri"/>
              </w:rPr>
              <w:t>initiated</w:t>
            </w:r>
            <w:r w:rsidRPr="005B532F">
              <w:rPr>
                <w:rFonts w:ascii="Calibri" w:hAnsi="Calibri" w:cs="Calibri"/>
              </w:rPr>
              <w:t xml:space="preserve"> this standards project to address emerging reliability risks driven by large electrical loads</w:t>
            </w:r>
            <w:r>
              <w:rPr>
                <w:rFonts w:ascii="Calibri" w:hAnsi="Calibri" w:cs="Calibri"/>
              </w:rPr>
              <w:t xml:space="preserve"> (</w:t>
            </w:r>
            <w:r w:rsidRPr="005B532F">
              <w:rPr>
                <w:rFonts w:ascii="Calibri" w:hAnsi="Calibri" w:cs="Calibri"/>
              </w:rPr>
              <w:t>data centers, Artificial Intelligence (AI) compute clusters, and cryptocurrency facilities</w:t>
            </w:r>
            <w:r>
              <w:rPr>
                <w:rFonts w:ascii="Calibri" w:hAnsi="Calibri" w:cs="Calibri"/>
              </w:rPr>
              <w:t xml:space="preserve">) </w:t>
            </w:r>
            <w:r w:rsidRPr="005B532F">
              <w:rPr>
                <w:rFonts w:ascii="Calibri" w:hAnsi="Calibri" w:cs="Calibri"/>
              </w:rPr>
              <w:t>that are connecting to the Bulk-Power System (BPS)</w:t>
            </w:r>
            <w:r>
              <w:rPr>
                <w:rFonts w:ascii="Calibri" w:hAnsi="Calibri" w:cs="Calibri"/>
              </w:rPr>
              <w:t>. This standard r</w:t>
            </w:r>
            <w:r w:rsidRPr="005B532F">
              <w:rPr>
                <w:rFonts w:ascii="Calibri" w:hAnsi="Calibri" w:cs="Calibri"/>
              </w:rPr>
              <w:t>equires monitoring for computational loads and protection coordination.</w:t>
            </w:r>
          </w:p>
        </w:tc>
        <w:tc>
          <w:tcPr>
            <w:tcW w:w="2250" w:type="dxa"/>
          </w:tcPr>
          <w:p w14:paraId="002DCD9B" w14:textId="77777777" w:rsidR="003A1AA3" w:rsidRDefault="003A1AA3" w:rsidP="000E4402">
            <w:pPr>
              <w:rPr>
                <w:rFonts w:ascii="Calibri" w:hAnsi="Calibri" w:cs="Calibri"/>
              </w:rPr>
            </w:pPr>
            <w:r w:rsidRPr="005B532F">
              <w:rPr>
                <w:rFonts w:ascii="Calibri" w:hAnsi="Calibri" w:cs="Calibri"/>
              </w:rPr>
              <w:t>https://www.nerc.com/standards/reliability-standards-under-development/2026-02-computational-loads</w:t>
            </w:r>
          </w:p>
        </w:tc>
      </w:tr>
    </w:tbl>
    <w:p w14:paraId="2685F05C" w14:textId="77777777" w:rsidR="008C08FE" w:rsidRPr="00372C6B" w:rsidRDefault="008C08FE" w:rsidP="006A150E">
      <w:pPr>
        <w:rPr>
          <w:rFonts w:ascii="Calibri" w:hAnsi="Calibri" w:cs="Calibri"/>
        </w:rPr>
        <w:sectPr w:rsidR="008C08FE" w:rsidRPr="00372C6B">
          <w:pgSz w:w="12240" w:h="15840"/>
          <w:pgMar w:top="1440" w:right="1440" w:bottom="1440" w:left="1440" w:header="720" w:footer="720" w:gutter="0"/>
          <w:cols w:space="720"/>
          <w:docGrid w:linePitch="360"/>
        </w:sectPr>
      </w:pPr>
    </w:p>
    <w:p w14:paraId="4CC5249C" w14:textId="7F895C83" w:rsidR="00902475" w:rsidRPr="00372C6B" w:rsidRDefault="003A1AA3" w:rsidP="001736C8">
      <w:pPr>
        <w:pStyle w:val="Heading1"/>
        <w:ind w:left="360" w:hanging="360"/>
        <w:rPr>
          <w:rFonts w:ascii="Calibri" w:hAnsi="Calibri" w:cs="Calibri"/>
        </w:rPr>
      </w:pPr>
      <w:bookmarkStart w:id="18" w:name="_Toc242948898"/>
      <w:r>
        <w:rPr>
          <w:rFonts w:ascii="Calibri" w:hAnsi="Calibri" w:cs="Calibri"/>
        </w:rPr>
        <w:lastRenderedPageBreak/>
        <w:t>6</w:t>
      </w:r>
      <w:r w:rsidR="00BC315C" w:rsidRPr="00DB45E0">
        <w:rPr>
          <w:rFonts w:ascii="Calibri" w:hAnsi="Calibri" w:cs="Calibri"/>
        </w:rPr>
        <w:t>.</w:t>
      </w:r>
      <w:r w:rsidR="00BC315C" w:rsidRPr="00DB45E0">
        <w:rPr>
          <w:rFonts w:ascii="Times New Roman" w:hAnsi="Times New Roman"/>
          <w:sz w:val="14"/>
          <w:szCs w:val="14"/>
        </w:rPr>
        <w:t xml:space="preserve">  </w:t>
      </w:r>
      <w:r w:rsidR="00BC315C" w:rsidRPr="00372C6B">
        <w:rPr>
          <w:rFonts w:ascii="Calibri" w:hAnsi="Calibri" w:cs="Calibri"/>
        </w:rPr>
        <w:t>Appendix A. Review of Current Practices</w:t>
      </w:r>
      <w:bookmarkEnd w:id="18"/>
      <w:r w:rsidR="00BC315C" w:rsidRPr="00372C6B">
        <w:rPr>
          <w:rFonts w:ascii="Calibri" w:hAnsi="Calibri" w:cs="Calibri"/>
        </w:rPr>
        <w:t xml:space="preserve"> </w:t>
      </w:r>
    </w:p>
    <w:p w14:paraId="018C3B50" w14:textId="77777777" w:rsidR="005473A6" w:rsidRPr="00372C6B" w:rsidRDefault="005473A6" w:rsidP="005473A6">
      <w:pPr>
        <w:rPr>
          <w:rFonts w:ascii="Calibri" w:hAnsi="Calibri" w:cs="Calibri"/>
        </w:rPr>
      </w:pPr>
      <w:r w:rsidRPr="00372C6B">
        <w:rPr>
          <w:rFonts w:ascii="Calibri" w:hAnsi="Calibri" w:cs="Calibri"/>
        </w:rPr>
        <w:t xml:space="preserve">As the North American grid continues to change and face new challenges, it is helpful to look at how other parts of the world handle real-time stability monitoring. Many international grid operators already require continuous monitoring of stability, detection of oscillations, wide area visibility, and coordinated actions during stability issues. In most regions, real-time stability monitoring is supported by tools such as Phasor Measurement Units (PMUs), Wide Area Monitoring Systems (WAMS), and online dynamic security assessment, although the exact requirements differ by jurisdiction. By reviewing these global rules and practices, we can learn what works well and identify ideas that could strengthen NERC’s own requirements. </w:t>
      </w:r>
    </w:p>
    <w:p w14:paraId="71B4C1AE" w14:textId="77777777" w:rsidR="00B146CA" w:rsidRPr="00372C6B" w:rsidRDefault="00B146CA" w:rsidP="00B146CA">
      <w:pPr>
        <w:rPr>
          <w:rFonts w:ascii="Calibri" w:hAnsi="Calibri" w:cs="Calibri"/>
        </w:rPr>
      </w:pPr>
    </w:p>
    <w:p w14:paraId="5A89E6CD" w14:textId="7C8EFE9F" w:rsidR="00B146CA" w:rsidRPr="00372C6B" w:rsidRDefault="00B146CA" w:rsidP="00B146CA">
      <w:pPr>
        <w:rPr>
          <w:rFonts w:ascii="Calibri" w:hAnsi="Calibri" w:cs="Calibri"/>
          <w:b/>
          <w:bCs/>
          <w:sz w:val="28"/>
          <w:szCs w:val="28"/>
        </w:rPr>
      </w:pPr>
      <w:r w:rsidRPr="00372C6B">
        <w:rPr>
          <w:rFonts w:ascii="Calibri" w:hAnsi="Calibri" w:cs="Calibri"/>
          <w:b/>
          <w:bCs/>
          <w:sz w:val="28"/>
          <w:szCs w:val="28"/>
        </w:rPr>
        <w:t>Australia Energy Market Operator (AEMO)</w:t>
      </w:r>
    </w:p>
    <w:p w14:paraId="56218DF4" w14:textId="77777777" w:rsidR="00572EA7" w:rsidRPr="00372C6B" w:rsidRDefault="00572EA7" w:rsidP="00572EA7">
      <w:pPr>
        <w:rPr>
          <w:rFonts w:ascii="Calibri" w:hAnsi="Calibri" w:cs="Calibri"/>
        </w:rPr>
      </w:pPr>
      <w:r w:rsidRPr="00372C6B">
        <w:rPr>
          <w:rFonts w:ascii="Calibri" w:hAnsi="Calibri" w:cs="Calibri"/>
        </w:rPr>
        <w:t>Australia operates two major power systems; the National Electricity Market (NEM) which covers eastern states of Australia, and the Wholesale Electricity Market (WEM) which covers the state of Western Australia. They have different regulatory history and requirements.</w:t>
      </w:r>
    </w:p>
    <w:p w14:paraId="6AA132F5" w14:textId="77777777" w:rsidR="00572EA7" w:rsidRPr="00372C6B" w:rsidRDefault="00572EA7" w:rsidP="00572EA7">
      <w:pPr>
        <w:rPr>
          <w:rFonts w:ascii="Calibri" w:hAnsi="Calibri" w:cs="Calibri"/>
        </w:rPr>
      </w:pPr>
      <w:r w:rsidRPr="00372C6B">
        <w:rPr>
          <w:rFonts w:ascii="Calibri" w:hAnsi="Calibri" w:cs="Calibri"/>
        </w:rPr>
        <w:t>Australia does not yet have a single, explicit rule mandating real time stability and oscillation monitoring across the board in either the NEM or WEM. In the NEM, AEMO already has strong legal powers and is actively using them to mandate PMUs and real time oscillation monitoring where needed.</w:t>
      </w:r>
    </w:p>
    <w:p w14:paraId="452CC7BB" w14:textId="287D0565" w:rsidR="00572EA7" w:rsidRPr="00372C6B" w:rsidRDefault="00572EA7" w:rsidP="00572EA7">
      <w:pPr>
        <w:rPr>
          <w:rFonts w:ascii="Calibri" w:hAnsi="Calibri" w:cs="Calibri"/>
        </w:rPr>
      </w:pPr>
      <w:r w:rsidRPr="00372C6B">
        <w:rPr>
          <w:rFonts w:ascii="Calibri" w:hAnsi="Calibri" w:cs="Calibri"/>
        </w:rPr>
        <w:t>In the WEM, monitoring is required at the system level, with participant obligations imposed selectively via connection and compliance frameworks. The direction in both markets is clearly toward more formal, real time oscillation monitoring, especially as inverter based resources dominate.</w:t>
      </w:r>
    </w:p>
    <w:p w14:paraId="625BDDA9" w14:textId="1B7236FE" w:rsidR="00572EA7" w:rsidRPr="00372C6B" w:rsidRDefault="008573DE" w:rsidP="00572EA7">
      <w:pPr>
        <w:rPr>
          <w:rFonts w:ascii="Calibri" w:hAnsi="Calibri" w:cs="Calibri"/>
        </w:rPr>
      </w:pPr>
      <w:r w:rsidRPr="00372C6B">
        <w:rPr>
          <w:rFonts w:ascii="Calibri" w:hAnsi="Calibri" w:cs="Calibri"/>
        </w:rPr>
        <w:t>W</w:t>
      </w:r>
      <w:r w:rsidR="00572EA7" w:rsidRPr="00372C6B">
        <w:rPr>
          <w:rFonts w:ascii="Calibri" w:hAnsi="Calibri" w:cs="Calibri"/>
        </w:rPr>
        <w:t xml:space="preserve">hile there is no direct regulatory framework around that in the WEM, if deemed as a real-time risk, </w:t>
      </w:r>
      <w:r w:rsidRPr="00372C6B">
        <w:rPr>
          <w:rFonts w:ascii="Calibri" w:hAnsi="Calibri" w:cs="Calibri"/>
        </w:rPr>
        <w:t>real time stability and oscillation monitoring</w:t>
      </w:r>
      <w:r w:rsidR="00572EA7" w:rsidRPr="00372C6B">
        <w:rPr>
          <w:rFonts w:ascii="Calibri" w:hAnsi="Calibri" w:cs="Calibri"/>
        </w:rPr>
        <w:t xml:space="preserve"> can </w:t>
      </w:r>
      <w:r w:rsidRPr="00372C6B">
        <w:rPr>
          <w:rFonts w:ascii="Calibri" w:hAnsi="Calibri" w:cs="Calibri"/>
        </w:rPr>
        <w:t xml:space="preserve">be </w:t>
      </w:r>
      <w:r w:rsidR="00572EA7" w:rsidRPr="00372C6B">
        <w:rPr>
          <w:rFonts w:ascii="Calibri" w:hAnsi="Calibri" w:cs="Calibri"/>
        </w:rPr>
        <w:t>request</w:t>
      </w:r>
      <w:r w:rsidRPr="00372C6B">
        <w:rPr>
          <w:rFonts w:ascii="Calibri" w:hAnsi="Calibri" w:cs="Calibri"/>
        </w:rPr>
        <w:t>ed</w:t>
      </w:r>
      <w:r w:rsidR="00572EA7" w:rsidRPr="00372C6B">
        <w:rPr>
          <w:rFonts w:ascii="Calibri" w:hAnsi="Calibri" w:cs="Calibri"/>
        </w:rPr>
        <w:t xml:space="preserve">. </w:t>
      </w:r>
    </w:p>
    <w:p w14:paraId="795384B1" w14:textId="73D33D92" w:rsidR="00572EA7" w:rsidRPr="00372C6B" w:rsidRDefault="00572EA7" w:rsidP="00572EA7">
      <w:pPr>
        <w:rPr>
          <w:rFonts w:ascii="Calibri" w:hAnsi="Calibri" w:cs="Calibri"/>
        </w:rPr>
      </w:pPr>
      <w:r w:rsidRPr="00372C6B">
        <w:rPr>
          <w:rFonts w:ascii="Calibri" w:hAnsi="Calibri" w:cs="Calibri"/>
        </w:rPr>
        <w:t>NEM has included the head of power by which AEMO can request installation</w:t>
      </w:r>
      <w:r w:rsidR="008573DE" w:rsidRPr="00372C6B">
        <w:rPr>
          <w:rFonts w:ascii="Calibri" w:hAnsi="Calibri" w:cs="Calibri"/>
        </w:rPr>
        <w:t>, as indicated in</w:t>
      </w:r>
      <w:r w:rsidRPr="00372C6B">
        <w:rPr>
          <w:rFonts w:ascii="Calibri" w:hAnsi="Calibri" w:cs="Calibri"/>
        </w:rPr>
        <w:t xml:space="preserve"> clauses 4.11.1(d) and (e) of the National Electricity Rules</w:t>
      </w:r>
      <w:r w:rsidR="008573DE" w:rsidRPr="00372C6B">
        <w:rPr>
          <w:rFonts w:ascii="Calibri" w:hAnsi="Calibri" w:cs="Calibri"/>
        </w:rPr>
        <w:t xml:space="preserve">, see </w:t>
      </w:r>
      <w:hyperlink r:id="rId28" w:history="1">
        <w:r w:rsidR="008573DE" w:rsidRPr="00372C6B">
          <w:rPr>
            <w:rStyle w:val="Hyperlink"/>
            <w:rFonts w:ascii="Calibri" w:hAnsi="Calibri" w:cs="Calibri"/>
          </w:rPr>
          <w:t>https://energy-rules.aemc.gov.au/ner/3/5695</w:t>
        </w:r>
      </w:hyperlink>
      <w:r w:rsidR="008573DE" w:rsidRPr="00372C6B">
        <w:rPr>
          <w:rFonts w:ascii="Calibri" w:hAnsi="Calibri" w:cs="Calibri"/>
        </w:rPr>
        <w:t>.</w:t>
      </w:r>
    </w:p>
    <w:p w14:paraId="3C8082F5" w14:textId="362D95FF" w:rsidR="00572EA7" w:rsidRPr="00372C6B" w:rsidRDefault="008573DE" w:rsidP="00572EA7">
      <w:pPr>
        <w:rPr>
          <w:rFonts w:ascii="Calibri" w:hAnsi="Calibri" w:cs="Calibri"/>
        </w:rPr>
      </w:pPr>
      <w:r w:rsidRPr="00372C6B">
        <w:rPr>
          <w:rFonts w:ascii="Calibri" w:hAnsi="Calibri" w:cs="Calibri"/>
        </w:rPr>
        <w:t>An example of a public</w:t>
      </w:r>
      <w:r w:rsidR="00572EA7" w:rsidRPr="00372C6B">
        <w:rPr>
          <w:rFonts w:ascii="Calibri" w:hAnsi="Calibri" w:cs="Calibri"/>
        </w:rPr>
        <w:t xml:space="preserve"> request letter from AEMO to Transgird </w:t>
      </w:r>
      <w:r w:rsidRPr="00372C6B">
        <w:rPr>
          <w:rFonts w:ascii="Calibri" w:hAnsi="Calibri" w:cs="Calibri"/>
        </w:rPr>
        <w:t>is available here:</w:t>
      </w:r>
    </w:p>
    <w:p w14:paraId="292CC1C7" w14:textId="1F363238" w:rsidR="00572EA7" w:rsidRPr="00372C6B" w:rsidRDefault="008573DE" w:rsidP="00572EA7">
      <w:pPr>
        <w:rPr>
          <w:rFonts w:ascii="Calibri" w:hAnsi="Calibri" w:cs="Calibri"/>
        </w:rPr>
      </w:pPr>
      <w:hyperlink r:id="rId29" w:history="1">
        <w:r w:rsidRPr="00372C6B">
          <w:rPr>
            <w:rStyle w:val="Hyperlink"/>
            <w:rFonts w:ascii="Calibri" w:hAnsi="Calibri" w:cs="Calibri"/>
          </w:rPr>
          <w:t>https://www.aer.gov.au/system/files/Transgrid%20-%20AEMO%20-%20PMU%20NER%204.11.1%28d%29%20notice%20-%2027%20Jun%202022%20-%20PUBLIC.pdf?utm_source=copilot.com</w:t>
        </w:r>
      </w:hyperlink>
      <w:r w:rsidRPr="00372C6B">
        <w:rPr>
          <w:rFonts w:ascii="Calibri" w:hAnsi="Calibri" w:cs="Calibri"/>
        </w:rPr>
        <w:t xml:space="preserve"> </w:t>
      </w:r>
    </w:p>
    <w:p w14:paraId="4ED574DB" w14:textId="77777777" w:rsidR="00B146CA" w:rsidRPr="00372C6B" w:rsidRDefault="00B146CA" w:rsidP="00B146CA">
      <w:pPr>
        <w:rPr>
          <w:rFonts w:ascii="Calibri" w:hAnsi="Calibri" w:cs="Calibri"/>
        </w:rPr>
      </w:pPr>
    </w:p>
    <w:p w14:paraId="449A1FB0" w14:textId="57422271" w:rsidR="00631A7B" w:rsidRPr="00372C6B" w:rsidRDefault="00631A7B" w:rsidP="00631A7B">
      <w:pPr>
        <w:rPr>
          <w:rFonts w:ascii="Calibri" w:hAnsi="Calibri" w:cs="Calibri"/>
          <w:b/>
          <w:bCs/>
          <w:sz w:val="28"/>
          <w:szCs w:val="28"/>
        </w:rPr>
      </w:pPr>
      <w:r w:rsidRPr="00372C6B">
        <w:rPr>
          <w:rFonts w:ascii="Calibri" w:hAnsi="Calibri" w:cs="Calibri"/>
          <w:b/>
          <w:bCs/>
          <w:sz w:val="28"/>
          <w:szCs w:val="28"/>
        </w:rPr>
        <w:t>Operador Nacional do Sistema Elétrico (ONS), Brazil</w:t>
      </w:r>
    </w:p>
    <w:p w14:paraId="3E773AFF" w14:textId="721D937B" w:rsidR="00631A7B" w:rsidRPr="00372C6B" w:rsidRDefault="00935AE4" w:rsidP="00631A7B">
      <w:pPr>
        <w:rPr>
          <w:rFonts w:ascii="Calibri" w:hAnsi="Calibri" w:cs="Calibri"/>
        </w:rPr>
      </w:pPr>
      <w:r w:rsidRPr="00372C6B">
        <w:rPr>
          <w:rFonts w:ascii="Calibri" w:hAnsi="Calibri" w:cs="Calibri"/>
        </w:rPr>
        <w:t>ONS is</w:t>
      </w:r>
      <w:r w:rsidR="00631A7B" w:rsidRPr="00372C6B">
        <w:rPr>
          <w:rFonts w:ascii="Calibri" w:hAnsi="Calibri" w:cs="Calibri"/>
        </w:rPr>
        <w:t xml:space="preserve"> currently proposing to </w:t>
      </w:r>
      <w:r w:rsidRPr="00372C6B">
        <w:rPr>
          <w:rFonts w:ascii="Calibri" w:hAnsi="Calibri" w:cs="Calibri"/>
        </w:rPr>
        <w:t>the</w:t>
      </w:r>
      <w:r w:rsidR="00631A7B" w:rsidRPr="00372C6B">
        <w:rPr>
          <w:rFonts w:ascii="Calibri" w:hAnsi="Calibri" w:cs="Calibri"/>
        </w:rPr>
        <w:t xml:space="preserve"> regulatory agency a significant expansion of </w:t>
      </w:r>
      <w:r w:rsidRPr="00372C6B">
        <w:rPr>
          <w:rFonts w:ascii="Calibri" w:hAnsi="Calibri" w:cs="Calibri"/>
        </w:rPr>
        <w:t>their</w:t>
      </w:r>
      <w:r w:rsidR="00631A7B" w:rsidRPr="00372C6B">
        <w:rPr>
          <w:rFonts w:ascii="Calibri" w:hAnsi="Calibri" w:cs="Calibri"/>
        </w:rPr>
        <w:t xml:space="preserve"> PMU network</w:t>
      </w:r>
      <w:r w:rsidRPr="00372C6B">
        <w:rPr>
          <w:rFonts w:ascii="Calibri" w:hAnsi="Calibri" w:cs="Calibri"/>
        </w:rPr>
        <w:t xml:space="preserve">, </w:t>
      </w:r>
      <w:r w:rsidR="00631A7B" w:rsidRPr="00372C6B">
        <w:rPr>
          <w:rFonts w:ascii="Calibri" w:hAnsi="Calibri" w:cs="Calibri"/>
        </w:rPr>
        <w:t xml:space="preserve">from approximately 1,000 PMUs to around 3,000. This will provide full observability and redundancy across </w:t>
      </w:r>
      <w:r w:rsidRPr="00372C6B">
        <w:rPr>
          <w:rFonts w:ascii="Calibri" w:hAnsi="Calibri" w:cs="Calibri"/>
        </w:rPr>
        <w:t>ONS</w:t>
      </w:r>
      <w:r w:rsidR="00631A7B" w:rsidRPr="00372C6B">
        <w:rPr>
          <w:rFonts w:ascii="Calibri" w:hAnsi="Calibri" w:cs="Calibri"/>
        </w:rPr>
        <w:t xml:space="preserve"> operational power grid.</w:t>
      </w:r>
    </w:p>
    <w:p w14:paraId="57EECF33" w14:textId="48BEC0C9" w:rsidR="00631A7B" w:rsidRPr="00372C6B" w:rsidRDefault="00935AE4" w:rsidP="00631A7B">
      <w:pPr>
        <w:rPr>
          <w:rFonts w:ascii="Calibri" w:hAnsi="Calibri" w:cs="Calibri"/>
        </w:rPr>
      </w:pPr>
      <w:r w:rsidRPr="00372C6B">
        <w:rPr>
          <w:rFonts w:ascii="Calibri" w:hAnsi="Calibri" w:cs="Calibri"/>
        </w:rPr>
        <w:t>ONS</w:t>
      </w:r>
      <w:r w:rsidR="00631A7B" w:rsidRPr="00372C6B">
        <w:rPr>
          <w:rFonts w:ascii="Calibri" w:hAnsi="Calibri" w:cs="Calibri"/>
        </w:rPr>
        <w:t xml:space="preserve"> expect</w:t>
      </w:r>
      <w:r w:rsidRPr="00372C6B">
        <w:rPr>
          <w:rFonts w:ascii="Calibri" w:hAnsi="Calibri" w:cs="Calibri"/>
        </w:rPr>
        <w:t>s</w:t>
      </w:r>
      <w:r w:rsidR="00631A7B" w:rsidRPr="00372C6B">
        <w:rPr>
          <w:rFonts w:ascii="Calibri" w:hAnsi="Calibri" w:cs="Calibri"/>
        </w:rPr>
        <w:t xml:space="preserve"> this to be a major step toward defining future requirements for dynamic stability and oscillation monitoring in real-time operation, thereby contributing to a more resilient network.</w:t>
      </w:r>
    </w:p>
    <w:p w14:paraId="47478309" w14:textId="3D3A47FD" w:rsidR="00631A7B" w:rsidRPr="00372C6B" w:rsidRDefault="00631A7B" w:rsidP="00631A7B">
      <w:pPr>
        <w:rPr>
          <w:rFonts w:ascii="Calibri" w:hAnsi="Calibri" w:cs="Calibri"/>
        </w:rPr>
      </w:pPr>
      <w:r w:rsidRPr="00372C6B">
        <w:rPr>
          <w:rFonts w:ascii="Calibri" w:hAnsi="Calibri" w:cs="Calibri"/>
        </w:rPr>
        <w:t xml:space="preserve">At present, </w:t>
      </w:r>
      <w:r w:rsidR="00935AE4" w:rsidRPr="00372C6B">
        <w:rPr>
          <w:rFonts w:ascii="Calibri" w:hAnsi="Calibri" w:cs="Calibri"/>
        </w:rPr>
        <w:t>ONS</w:t>
      </w:r>
      <w:r w:rsidRPr="00372C6B">
        <w:rPr>
          <w:rFonts w:ascii="Calibri" w:hAnsi="Calibri" w:cs="Calibri"/>
        </w:rPr>
        <w:t xml:space="preserve"> do</w:t>
      </w:r>
      <w:r w:rsidR="00935AE4" w:rsidRPr="00372C6B">
        <w:rPr>
          <w:rFonts w:ascii="Calibri" w:hAnsi="Calibri" w:cs="Calibri"/>
        </w:rPr>
        <w:t>es</w:t>
      </w:r>
      <w:r w:rsidRPr="00372C6B">
        <w:rPr>
          <w:rFonts w:ascii="Calibri" w:hAnsi="Calibri" w:cs="Calibri"/>
        </w:rPr>
        <w:t xml:space="preserve"> not have defined requirements for dynamic stability and oscillation monitoring in real-time operation, whether based on synchrophasor measurements or any other data source.</w:t>
      </w:r>
      <w:r w:rsidR="00935AE4" w:rsidRPr="00372C6B">
        <w:rPr>
          <w:rFonts w:ascii="Calibri" w:hAnsi="Calibri" w:cs="Calibri"/>
        </w:rPr>
        <w:t xml:space="preserve"> The expectation is </w:t>
      </w:r>
      <w:r w:rsidRPr="00372C6B">
        <w:rPr>
          <w:rFonts w:ascii="Calibri" w:hAnsi="Calibri" w:cs="Calibri"/>
        </w:rPr>
        <w:t xml:space="preserve">that such requirements will be proposed and further developed by ONS once sufficient system observability </w:t>
      </w:r>
      <w:r w:rsidR="00162DBD" w:rsidRPr="00372C6B">
        <w:rPr>
          <w:rFonts w:ascii="Calibri" w:hAnsi="Calibri" w:cs="Calibri"/>
        </w:rPr>
        <w:t xml:space="preserve">is achieved </w:t>
      </w:r>
      <w:r w:rsidRPr="00372C6B">
        <w:rPr>
          <w:rFonts w:ascii="Calibri" w:hAnsi="Calibri" w:cs="Calibri"/>
        </w:rPr>
        <w:t xml:space="preserve">and more experience </w:t>
      </w:r>
      <w:r w:rsidR="00162DBD" w:rsidRPr="00372C6B">
        <w:rPr>
          <w:rFonts w:ascii="Calibri" w:hAnsi="Calibri" w:cs="Calibri"/>
        </w:rPr>
        <w:t xml:space="preserve">is gained </w:t>
      </w:r>
      <w:r w:rsidRPr="00372C6B">
        <w:rPr>
          <w:rFonts w:ascii="Calibri" w:hAnsi="Calibri" w:cs="Calibri"/>
        </w:rPr>
        <w:t xml:space="preserve">with recurring harmful dynamic phenomena in the Brazilian power grid. </w:t>
      </w:r>
    </w:p>
    <w:p w14:paraId="4626F9BC" w14:textId="77777777" w:rsidR="00631A7B" w:rsidRPr="00372C6B" w:rsidRDefault="00631A7B" w:rsidP="00B146CA">
      <w:pPr>
        <w:rPr>
          <w:rFonts w:ascii="Calibri" w:hAnsi="Calibri" w:cs="Calibri"/>
        </w:rPr>
      </w:pPr>
    </w:p>
    <w:p w14:paraId="6B7273A5" w14:textId="77777777" w:rsidR="00631A7B" w:rsidRPr="00372C6B" w:rsidRDefault="00631A7B" w:rsidP="00631A7B">
      <w:pPr>
        <w:rPr>
          <w:rFonts w:ascii="Calibri" w:hAnsi="Calibri" w:cs="Calibri"/>
        </w:rPr>
      </w:pPr>
    </w:p>
    <w:p w14:paraId="040B3C12" w14:textId="7E718DE6" w:rsidR="00902475" w:rsidRPr="00372C6B" w:rsidRDefault="003A1AA3" w:rsidP="003927F6">
      <w:pPr>
        <w:pStyle w:val="Heading1"/>
        <w:ind w:left="360" w:hanging="360"/>
        <w:rPr>
          <w:rFonts w:ascii="Calibri" w:hAnsi="Calibri" w:cs="Calibri"/>
        </w:rPr>
      </w:pPr>
      <w:bookmarkStart w:id="19" w:name="_Ref242214394"/>
      <w:bookmarkStart w:id="20" w:name="_Toc242948899"/>
      <w:r>
        <w:rPr>
          <w:rFonts w:ascii="Calibri" w:hAnsi="Calibri" w:cs="Calibri"/>
        </w:rPr>
        <w:t>7</w:t>
      </w:r>
      <w:r w:rsidR="00BC315C" w:rsidRPr="00FB3F68">
        <w:rPr>
          <w:rFonts w:ascii="Calibri" w:hAnsi="Calibri" w:cs="Calibri"/>
        </w:rPr>
        <w:t>.</w:t>
      </w:r>
      <w:r w:rsidR="00BC315C" w:rsidRPr="00FB3F68">
        <w:rPr>
          <w:rFonts w:ascii="Times New Roman" w:hAnsi="Times New Roman"/>
          <w:sz w:val="14"/>
          <w:szCs w:val="14"/>
        </w:rPr>
        <w:t xml:space="preserve">  </w:t>
      </w:r>
      <w:r w:rsidR="00BC315C" w:rsidRPr="00372C6B">
        <w:rPr>
          <w:rFonts w:ascii="Calibri" w:hAnsi="Calibri" w:cs="Calibri"/>
        </w:rPr>
        <w:t>Appendix B. Recommendations from Large System Events</w:t>
      </w:r>
      <w:bookmarkEnd w:id="19"/>
      <w:bookmarkEnd w:id="20"/>
      <w:r w:rsidR="00BC315C" w:rsidRPr="00372C6B">
        <w:rPr>
          <w:rFonts w:ascii="Calibri" w:hAnsi="Calibri" w:cs="Calibri"/>
        </w:rPr>
        <w:t xml:space="preserve"> </w:t>
      </w:r>
    </w:p>
    <w:p w14:paraId="2F44BBC9" w14:textId="77777777" w:rsidR="008C08FE" w:rsidRPr="00372C6B" w:rsidRDefault="008C08FE" w:rsidP="008C08FE">
      <w:pPr>
        <w:spacing w:after="0" w:line="240" w:lineRule="auto"/>
        <w:rPr>
          <w:rFonts w:ascii="Calibri" w:eastAsia="MS Mincho" w:hAnsi="Calibri" w:cs="Calibri"/>
        </w:rPr>
      </w:pPr>
      <w:r w:rsidRPr="00372C6B">
        <w:rPr>
          <w:rFonts w:ascii="Calibri" w:eastAsia="MS Mincho" w:hAnsi="Calibri" w:cs="Calibri"/>
        </w:rPr>
        <w:t>Learning from past major grid outages is important for making the power system more reliable and avoiding similar problems in the future. After large outages, regulators often publish reports that explain what happened, why it happened, and what could be improved. Looking at the recommendations from several of these events, this section highlights common issues, key lessons, and useful practices that can help strengthen future reliability standards and day-to-day operations. The list below shows the major events reviewed in this analysis.</w:t>
      </w:r>
    </w:p>
    <w:p w14:paraId="2EAC577E" w14:textId="77777777" w:rsidR="00F324F8" w:rsidRPr="00372C6B" w:rsidRDefault="00F324F8" w:rsidP="004E5D3D">
      <w:pPr>
        <w:rPr>
          <w:rFonts w:ascii="Calibri" w:hAnsi="Calibri" w:cs="Calibri"/>
        </w:rPr>
      </w:pPr>
    </w:p>
    <w:p w14:paraId="3F1E05D1" w14:textId="5735EA15" w:rsidR="00F324F8" w:rsidRPr="00372C6B" w:rsidRDefault="003A1AA3" w:rsidP="00474F1B">
      <w:pPr>
        <w:pStyle w:val="Heading2"/>
        <w:numPr>
          <w:ilvl w:val="0"/>
          <w:numId w:val="0"/>
        </w:numPr>
        <w:spacing w:line="276" w:lineRule="auto"/>
        <w:rPr>
          <w:rFonts w:ascii="Calibri" w:eastAsia="Aptos Display" w:hAnsi="Calibri" w:cs="Calibri"/>
        </w:rPr>
      </w:pPr>
      <w:bookmarkStart w:id="21" w:name="_Toc242948900"/>
      <w:r>
        <w:rPr>
          <w:rFonts w:ascii="Calibri" w:eastAsia="Aptos Display" w:hAnsi="Calibri" w:cs="Calibri"/>
        </w:rPr>
        <w:t>7</w:t>
      </w:r>
      <w:r w:rsidR="00474F1B">
        <w:rPr>
          <w:rFonts w:ascii="Calibri" w:eastAsia="Aptos Display" w:hAnsi="Calibri" w:cs="Calibri"/>
        </w:rPr>
        <w:t>.1</w:t>
      </w:r>
      <w:r w:rsidR="00474F1B">
        <w:rPr>
          <w:rFonts w:ascii="Calibri" w:eastAsia="Aptos Display" w:hAnsi="Calibri" w:cs="Calibri"/>
        </w:rPr>
        <w:tab/>
      </w:r>
      <w:r w:rsidR="00F324F8" w:rsidRPr="00372C6B">
        <w:rPr>
          <w:rFonts w:ascii="Calibri" w:eastAsia="Aptos Display" w:hAnsi="Calibri" w:cs="Calibri"/>
        </w:rPr>
        <w:t>Major Blackouts in North America</w:t>
      </w:r>
      <w:bookmarkEnd w:id="21"/>
    </w:p>
    <w:p w14:paraId="0ED26D8A" w14:textId="074886A9" w:rsidR="008C08FE" w:rsidRPr="00372C6B" w:rsidRDefault="008C08FE" w:rsidP="008C08FE">
      <w:pPr>
        <w:spacing w:line="276" w:lineRule="auto"/>
        <w:rPr>
          <w:rFonts w:ascii="Calibri" w:eastAsia="Aptos" w:hAnsi="Calibri" w:cs="Calibri"/>
        </w:rPr>
      </w:pPr>
    </w:p>
    <w:p w14:paraId="0D110EC3" w14:textId="2C18D331" w:rsidR="00BC315C" w:rsidRDefault="003A1AA3" w:rsidP="00503158">
      <w:pPr>
        <w:pStyle w:val="Heading3"/>
        <w:rPr>
          <w:rFonts w:cstheme="minorBidi"/>
        </w:rPr>
      </w:pPr>
      <w:r>
        <w:rPr>
          <w:rFonts w:ascii="Calibri" w:hAnsi="Calibri" w:cs="Calibri"/>
        </w:rPr>
        <w:t>7</w:t>
      </w:r>
      <w:r w:rsidR="00503158" w:rsidRPr="00503158">
        <w:rPr>
          <w:rFonts w:ascii="Calibri" w:hAnsi="Calibri" w:cs="Calibri"/>
        </w:rPr>
        <w:t>.1.1  Pacific Southwest Blackout – September 8, 2011</w:t>
      </w:r>
    </w:p>
    <w:p w14:paraId="3CFBD198" w14:textId="6CE4FC26" w:rsidR="008C08FE" w:rsidRPr="00372C6B" w:rsidRDefault="00CD608B" w:rsidP="006803B2">
      <w:pPr>
        <w:spacing w:before="240" w:line="276" w:lineRule="auto"/>
        <w:rPr>
          <w:rFonts w:ascii="Calibri" w:eastAsia="Aptos" w:hAnsi="Calibri" w:cs="Calibri"/>
          <w:b/>
          <w:bCs/>
        </w:rPr>
      </w:pPr>
      <w:r w:rsidRPr="00372C6B">
        <w:rPr>
          <w:rFonts w:ascii="Calibri" w:eastAsia="Aptos" w:hAnsi="Calibri" w:cs="Calibri"/>
          <w:b/>
          <w:bCs/>
        </w:rPr>
        <w:t>Event</w:t>
      </w:r>
      <w:r w:rsidR="008C08FE" w:rsidRPr="00372C6B">
        <w:rPr>
          <w:rFonts w:ascii="Calibri" w:eastAsia="Aptos" w:hAnsi="Calibri" w:cs="Calibri"/>
          <w:b/>
          <w:bCs/>
        </w:rPr>
        <w:t xml:space="preserve"> Type</w:t>
      </w:r>
    </w:p>
    <w:p w14:paraId="23A47782" w14:textId="3BCE3276" w:rsidR="008C08FE" w:rsidRPr="00372C6B" w:rsidRDefault="006F1884" w:rsidP="008C08FE">
      <w:pPr>
        <w:spacing w:line="276" w:lineRule="auto"/>
        <w:rPr>
          <w:rFonts w:ascii="Calibri" w:eastAsia="Aptos" w:hAnsi="Calibri" w:cs="Calibri"/>
        </w:rPr>
      </w:pPr>
      <w:r w:rsidRPr="00372C6B">
        <w:rPr>
          <w:rFonts w:ascii="Calibri" w:eastAsia="Aptos" w:hAnsi="Calibri" w:cs="Calibri"/>
        </w:rPr>
        <w:lastRenderedPageBreak/>
        <w:t xml:space="preserve">The outage was triggered by accidental tripping of the Hassayampa–North Gila 500 kV transmission line by a technician, which cascaded over the following 11 minutes into a blackout affecting 2.7 million customers, and the restoration took about 12 hours. </w:t>
      </w:r>
    </w:p>
    <w:p w14:paraId="77896E0C" w14:textId="68E31017" w:rsidR="008C08FE" w:rsidRPr="00372C6B" w:rsidRDefault="008C08FE" w:rsidP="006803B2">
      <w:pPr>
        <w:spacing w:before="240" w:line="276" w:lineRule="auto"/>
        <w:rPr>
          <w:rFonts w:ascii="Calibri" w:eastAsia="Aptos" w:hAnsi="Calibri" w:cs="Calibri"/>
          <w:b/>
          <w:bCs/>
        </w:rPr>
      </w:pPr>
      <w:r w:rsidRPr="00372C6B">
        <w:rPr>
          <w:rFonts w:ascii="Calibri" w:eastAsia="Aptos" w:hAnsi="Calibri" w:cs="Calibri"/>
          <w:b/>
          <w:bCs/>
        </w:rPr>
        <w:t xml:space="preserve">Brief </w:t>
      </w:r>
      <w:r w:rsidR="00CD608B" w:rsidRPr="00372C6B">
        <w:rPr>
          <w:rFonts w:ascii="Calibri" w:eastAsia="Aptos" w:hAnsi="Calibri" w:cs="Calibri"/>
          <w:b/>
          <w:bCs/>
        </w:rPr>
        <w:t>Event</w:t>
      </w:r>
      <w:r w:rsidRPr="00372C6B">
        <w:rPr>
          <w:rFonts w:ascii="Calibri" w:eastAsia="Aptos" w:hAnsi="Calibri" w:cs="Calibri"/>
          <w:b/>
          <w:bCs/>
        </w:rPr>
        <w:t xml:space="preserve"> Description</w:t>
      </w:r>
    </w:p>
    <w:p w14:paraId="6E4FA88F" w14:textId="77777777" w:rsidR="008C08FE" w:rsidRPr="00372C6B" w:rsidRDefault="008C08FE" w:rsidP="008C08FE">
      <w:pPr>
        <w:spacing w:line="276" w:lineRule="auto"/>
        <w:rPr>
          <w:rFonts w:ascii="Calibri" w:eastAsia="Aptos" w:hAnsi="Calibri" w:cs="Calibri"/>
        </w:rPr>
      </w:pPr>
      <w:r w:rsidRPr="00372C6B">
        <w:rPr>
          <w:rFonts w:ascii="Calibri" w:eastAsia="Aptos" w:hAnsi="Calibri" w:cs="Calibri"/>
        </w:rPr>
        <w:t>Over 30 “major” element operations occurred over the course of the event, including:</w:t>
      </w:r>
    </w:p>
    <w:p w14:paraId="01026CDD" w14:textId="77777777" w:rsidR="008C08FE" w:rsidRPr="00372C6B" w:rsidRDefault="008C08FE">
      <w:pPr>
        <w:pStyle w:val="ListParagraph"/>
        <w:numPr>
          <w:ilvl w:val="0"/>
          <w:numId w:val="17"/>
        </w:numPr>
        <w:spacing w:after="0" w:line="276" w:lineRule="auto"/>
        <w:rPr>
          <w:rFonts w:ascii="Calibri" w:eastAsia="Aptos" w:hAnsi="Calibri" w:cs="Calibri"/>
        </w:rPr>
      </w:pPr>
      <w:r w:rsidRPr="00372C6B">
        <w:rPr>
          <w:rFonts w:ascii="Calibri" w:eastAsia="Aptos" w:hAnsi="Calibri" w:cs="Calibri"/>
        </w:rPr>
        <w:t>Line and transformer trips</w:t>
      </w:r>
    </w:p>
    <w:p w14:paraId="551717F3" w14:textId="77777777" w:rsidR="008C08FE" w:rsidRPr="00372C6B" w:rsidRDefault="008C08FE">
      <w:pPr>
        <w:pStyle w:val="ListParagraph"/>
        <w:numPr>
          <w:ilvl w:val="0"/>
          <w:numId w:val="17"/>
        </w:numPr>
        <w:spacing w:after="0" w:line="276" w:lineRule="auto"/>
        <w:rPr>
          <w:rFonts w:ascii="Calibri" w:eastAsia="Aptos" w:hAnsi="Calibri" w:cs="Calibri"/>
        </w:rPr>
      </w:pPr>
      <w:r w:rsidRPr="00372C6B">
        <w:rPr>
          <w:rFonts w:ascii="Calibri" w:eastAsia="Aptos" w:hAnsi="Calibri" w:cs="Calibri"/>
        </w:rPr>
        <w:t>Generator trips and runback</w:t>
      </w:r>
    </w:p>
    <w:p w14:paraId="71FEB1EC" w14:textId="77777777" w:rsidR="008C08FE" w:rsidRPr="00372C6B" w:rsidRDefault="008C08FE">
      <w:pPr>
        <w:pStyle w:val="ListParagraph"/>
        <w:numPr>
          <w:ilvl w:val="0"/>
          <w:numId w:val="17"/>
        </w:numPr>
        <w:spacing w:after="0" w:line="276" w:lineRule="auto"/>
        <w:rPr>
          <w:rFonts w:ascii="Calibri" w:eastAsia="Aptos" w:hAnsi="Calibri" w:cs="Calibri"/>
        </w:rPr>
      </w:pPr>
      <w:r w:rsidRPr="00372C6B">
        <w:rPr>
          <w:rFonts w:ascii="Calibri" w:eastAsia="Aptos" w:hAnsi="Calibri" w:cs="Calibri"/>
        </w:rPr>
        <w:t>Load shedding</w:t>
      </w:r>
    </w:p>
    <w:p w14:paraId="52FC9E93" w14:textId="77777777" w:rsidR="008C08FE" w:rsidRPr="00372C6B" w:rsidRDefault="008C08FE" w:rsidP="008C08FE">
      <w:pPr>
        <w:spacing w:line="276" w:lineRule="auto"/>
        <w:rPr>
          <w:rFonts w:ascii="Calibri" w:eastAsia="Aptos" w:hAnsi="Calibri" w:cs="Calibri"/>
        </w:rPr>
      </w:pPr>
      <w:r w:rsidRPr="00372C6B">
        <w:rPr>
          <w:rFonts w:ascii="Calibri" w:eastAsia="Aptos" w:hAnsi="Calibri" w:cs="Calibri"/>
        </w:rPr>
        <w:t>In addition, over 50 “minor” operations, such as capacitor and reactor switching, occurred during the course of the event.</w:t>
      </w:r>
    </w:p>
    <w:p w14:paraId="0FD211A0" w14:textId="77777777" w:rsidR="008C08FE" w:rsidRPr="00372C6B" w:rsidRDefault="008C08FE" w:rsidP="006803B2">
      <w:pPr>
        <w:spacing w:before="240" w:line="276" w:lineRule="auto"/>
        <w:rPr>
          <w:rFonts w:ascii="Calibri" w:eastAsia="Aptos" w:hAnsi="Calibri" w:cs="Calibri"/>
          <w:b/>
          <w:bCs/>
        </w:rPr>
      </w:pPr>
      <w:r w:rsidRPr="00372C6B">
        <w:rPr>
          <w:rFonts w:ascii="Calibri" w:eastAsia="Aptos" w:hAnsi="Calibri" w:cs="Calibri"/>
          <w:b/>
          <w:bCs/>
        </w:rPr>
        <w:t>Consequences</w:t>
      </w:r>
    </w:p>
    <w:p w14:paraId="0CE3745D" w14:textId="77777777" w:rsidR="006803B2" w:rsidRPr="00372C6B" w:rsidRDefault="008C08FE" w:rsidP="006803B2">
      <w:pPr>
        <w:spacing w:line="276" w:lineRule="auto"/>
        <w:rPr>
          <w:rFonts w:ascii="Calibri" w:hAnsi="Calibri" w:cs="Calibri"/>
        </w:rPr>
      </w:pPr>
      <w:r w:rsidRPr="00372C6B">
        <w:rPr>
          <w:rFonts w:ascii="Calibri" w:eastAsia="Aptos" w:hAnsi="Calibri" w:cs="Calibri"/>
        </w:rPr>
        <w:t>2.7 million customers in Arizona, Southern California, and Mexico were affected.</w:t>
      </w:r>
    </w:p>
    <w:p w14:paraId="1A171DD4" w14:textId="234E4616" w:rsidR="008C08FE" w:rsidRPr="00372C6B" w:rsidRDefault="008C08FE" w:rsidP="006803B2">
      <w:pPr>
        <w:spacing w:before="240" w:line="276" w:lineRule="auto"/>
        <w:rPr>
          <w:rFonts w:ascii="Calibri" w:eastAsia="Aptos" w:hAnsi="Calibri" w:cs="Calibri"/>
          <w:b/>
          <w:bCs/>
        </w:rPr>
      </w:pPr>
      <w:r w:rsidRPr="00372C6B">
        <w:rPr>
          <w:rFonts w:ascii="Calibri" w:eastAsia="Aptos" w:hAnsi="Calibri" w:cs="Calibri"/>
          <w:b/>
          <w:bCs/>
        </w:rPr>
        <w:t>Conclusions and Recommendations</w:t>
      </w:r>
    </w:p>
    <w:p w14:paraId="03E0070A" w14:textId="77777777" w:rsidR="008C08FE" w:rsidRPr="00372C6B" w:rsidRDefault="008C08FE" w:rsidP="008C08FE">
      <w:pPr>
        <w:spacing w:line="276" w:lineRule="auto"/>
        <w:rPr>
          <w:rFonts w:ascii="Calibri" w:eastAsia="Aptos" w:hAnsi="Calibri" w:cs="Calibri"/>
        </w:rPr>
      </w:pPr>
      <w:r w:rsidRPr="00372C6B">
        <w:rPr>
          <w:rFonts w:ascii="Calibri" w:eastAsia="Aptos" w:hAnsi="Calibri" w:cs="Calibri"/>
        </w:rPr>
        <w:t>Joint FERC and NERC investigation identified weaknesses in two broad areas (</w:t>
      </w:r>
      <w:hyperlink r:id="rId30" w:history="1">
        <w:r w:rsidRPr="00372C6B">
          <w:rPr>
            <w:rStyle w:val="Hyperlink"/>
            <w:rFonts w:ascii="Calibri" w:eastAsia="Aptos" w:hAnsi="Calibri" w:cs="Calibri"/>
          </w:rPr>
          <w:t>https://www.ferc.gov/sites/default/files/2020-05/04-27-2012-ferc-nerc-report.pdf</w:t>
        </w:r>
      </w:hyperlink>
      <w:r w:rsidRPr="00372C6B">
        <w:rPr>
          <w:rFonts w:ascii="Calibri" w:eastAsia="Aptos" w:hAnsi="Calibri" w:cs="Calibri"/>
        </w:rPr>
        <w:t>):</w:t>
      </w:r>
    </w:p>
    <w:p w14:paraId="447AC6E0" w14:textId="77777777" w:rsidR="008C08FE" w:rsidRPr="00372C6B" w:rsidRDefault="008C08FE">
      <w:pPr>
        <w:pStyle w:val="ListParagraph"/>
        <w:numPr>
          <w:ilvl w:val="0"/>
          <w:numId w:val="16"/>
        </w:numPr>
        <w:spacing w:after="0" w:line="276" w:lineRule="auto"/>
        <w:rPr>
          <w:rFonts w:ascii="Calibri" w:eastAsia="Aptos" w:hAnsi="Calibri" w:cs="Calibri"/>
        </w:rPr>
      </w:pPr>
      <w:r w:rsidRPr="00372C6B">
        <w:rPr>
          <w:rFonts w:ascii="Calibri" w:eastAsia="Aptos" w:hAnsi="Calibri" w:cs="Calibri"/>
        </w:rPr>
        <w:t>Operations planning</w:t>
      </w:r>
    </w:p>
    <w:p w14:paraId="352C5AB7" w14:textId="77777777" w:rsidR="008C08FE" w:rsidRPr="00372C6B" w:rsidRDefault="008C08FE">
      <w:pPr>
        <w:pStyle w:val="ListParagraph"/>
        <w:numPr>
          <w:ilvl w:val="0"/>
          <w:numId w:val="16"/>
        </w:numPr>
        <w:spacing w:after="0" w:line="276" w:lineRule="auto"/>
        <w:rPr>
          <w:rFonts w:ascii="Calibri" w:eastAsia="Aptos" w:hAnsi="Calibri" w:cs="Calibri"/>
        </w:rPr>
      </w:pPr>
      <w:r w:rsidRPr="00372C6B">
        <w:rPr>
          <w:rFonts w:ascii="Calibri" w:eastAsia="Aptos" w:hAnsi="Calibri" w:cs="Calibri"/>
        </w:rPr>
        <w:t>Real-time situational awareness</w:t>
      </w:r>
    </w:p>
    <w:p w14:paraId="01A0E212" w14:textId="77777777" w:rsidR="008C08FE" w:rsidRPr="00372C6B" w:rsidRDefault="008C08FE" w:rsidP="008C08FE">
      <w:pPr>
        <w:spacing w:line="276" w:lineRule="auto"/>
        <w:rPr>
          <w:rFonts w:ascii="Calibri" w:eastAsia="Aptos" w:hAnsi="Calibri" w:cs="Calibri"/>
        </w:rPr>
      </w:pPr>
      <w:r w:rsidRPr="00372C6B">
        <w:rPr>
          <w:rFonts w:ascii="Calibri" w:eastAsia="Aptos" w:hAnsi="Calibri" w:cs="Calibri"/>
        </w:rPr>
        <w:t>As a result of the investigation, 27 findings were identified and recommendations were made, with the following findings having a direct connection with the present effort:</w:t>
      </w:r>
    </w:p>
    <w:p w14:paraId="140D79E0" w14:textId="77777777" w:rsidR="008C08FE" w:rsidRPr="00372C6B" w:rsidRDefault="008C08FE" w:rsidP="008C08FE">
      <w:pPr>
        <w:spacing w:line="276" w:lineRule="auto"/>
        <w:rPr>
          <w:rFonts w:ascii="Calibri" w:eastAsia="Aptos" w:hAnsi="Calibri" w:cs="Calibri"/>
          <w:b/>
          <w:bCs/>
          <w:u w:val="single"/>
        </w:rPr>
      </w:pPr>
      <w:r w:rsidRPr="00372C6B">
        <w:rPr>
          <w:rFonts w:ascii="Calibri" w:eastAsia="Aptos" w:hAnsi="Calibri" w:cs="Calibri"/>
          <w:b/>
          <w:bCs/>
          <w:u w:val="single"/>
        </w:rPr>
        <w:t>Finding 11 Lack of Real-Time External Visibility</w:t>
      </w:r>
    </w:p>
    <w:p w14:paraId="640935BB" w14:textId="77777777" w:rsidR="008C08FE" w:rsidRPr="00372C6B" w:rsidRDefault="008C08FE" w:rsidP="008C08FE">
      <w:pPr>
        <w:spacing w:line="276" w:lineRule="auto"/>
        <w:rPr>
          <w:rFonts w:ascii="Calibri" w:eastAsia="Aptos" w:hAnsi="Calibri" w:cs="Calibri"/>
          <w:b/>
          <w:bCs/>
          <w:u w:val="single"/>
        </w:rPr>
      </w:pPr>
      <w:r w:rsidRPr="00372C6B">
        <w:rPr>
          <w:rFonts w:ascii="Calibri" w:eastAsia="Aptos" w:hAnsi="Calibri" w:cs="Calibri"/>
          <w:b/>
          <w:bCs/>
          <w:u w:val="single"/>
        </w:rPr>
        <w:t>Recommendation 11:</w:t>
      </w:r>
    </w:p>
    <w:p w14:paraId="505F247B" w14:textId="77777777" w:rsidR="008C08FE" w:rsidRPr="00372C6B" w:rsidRDefault="008C08FE" w:rsidP="008C08FE">
      <w:pPr>
        <w:spacing w:line="276" w:lineRule="auto"/>
        <w:rPr>
          <w:rFonts w:ascii="Calibri" w:eastAsia="Aptos" w:hAnsi="Calibri" w:cs="Calibri"/>
        </w:rPr>
      </w:pPr>
      <w:r w:rsidRPr="00372C6B">
        <w:rPr>
          <w:rFonts w:ascii="Calibri" w:eastAsia="Aptos" w:hAnsi="Calibri" w:cs="Calibri"/>
        </w:rPr>
        <w:t>“TOPs should engage in more real-time data sharing to increase their visibility and situational awareness of external contingencies that could impact the reliability of their systems. They should obtain sufficient data to monitor significant external facilities in real time, especially those that are known to have a direct bearing on the reliability of their system, and properly assess the impact of internal contingencies on the SOLs of other TOPs.”</w:t>
      </w:r>
    </w:p>
    <w:p w14:paraId="6D07673C" w14:textId="77777777" w:rsidR="008C08FE" w:rsidRPr="00372C6B" w:rsidRDefault="008C08FE" w:rsidP="008C08FE">
      <w:pPr>
        <w:spacing w:line="276" w:lineRule="auto"/>
        <w:rPr>
          <w:rFonts w:ascii="Calibri" w:eastAsia="Aptos" w:hAnsi="Calibri" w:cs="Calibri"/>
          <w:b/>
          <w:bCs/>
          <w:u w:val="single"/>
        </w:rPr>
      </w:pPr>
      <w:r w:rsidRPr="00372C6B">
        <w:rPr>
          <w:rFonts w:ascii="Calibri" w:eastAsia="Aptos" w:hAnsi="Calibri" w:cs="Calibri"/>
          <w:b/>
          <w:bCs/>
          <w:u w:val="single"/>
        </w:rPr>
        <w:t>Finding 12 Inadequate Real-Time Tools.</w:t>
      </w:r>
    </w:p>
    <w:p w14:paraId="50105FDB" w14:textId="77777777" w:rsidR="008C08FE" w:rsidRPr="00372C6B" w:rsidRDefault="008C08FE" w:rsidP="008C08FE">
      <w:pPr>
        <w:spacing w:line="276" w:lineRule="auto"/>
        <w:rPr>
          <w:rFonts w:ascii="Calibri" w:eastAsia="Aptos" w:hAnsi="Calibri" w:cs="Calibri"/>
          <w:b/>
          <w:bCs/>
          <w:u w:val="single"/>
        </w:rPr>
      </w:pPr>
      <w:r w:rsidRPr="00372C6B">
        <w:rPr>
          <w:rFonts w:ascii="Calibri" w:eastAsia="Aptos" w:hAnsi="Calibri" w:cs="Calibri"/>
          <w:b/>
          <w:bCs/>
          <w:u w:val="single"/>
        </w:rPr>
        <w:t>Recommendation 12:</w:t>
      </w:r>
    </w:p>
    <w:p w14:paraId="1F3A4687" w14:textId="77777777" w:rsidR="008C08FE" w:rsidRPr="00372C6B" w:rsidRDefault="008C08FE" w:rsidP="008C08FE">
      <w:pPr>
        <w:spacing w:line="276" w:lineRule="auto"/>
        <w:rPr>
          <w:rFonts w:ascii="Calibri" w:eastAsia="Aptos" w:hAnsi="Calibri" w:cs="Calibri"/>
        </w:rPr>
      </w:pPr>
      <w:r w:rsidRPr="00372C6B">
        <w:rPr>
          <w:rFonts w:ascii="Calibri" w:eastAsia="Aptos" w:hAnsi="Calibri" w:cs="Calibri"/>
        </w:rPr>
        <w:t>“TOPs should take measures to ensure that their real-time tools are adequate, operational, and run frequently enough to provide their operators the situational awareness necessary to identify and plan for contingencies and reliably operate their systems.”</w:t>
      </w:r>
    </w:p>
    <w:p w14:paraId="19B06716" w14:textId="77777777" w:rsidR="008C08FE" w:rsidRPr="00372C6B" w:rsidRDefault="008C08FE" w:rsidP="008C08FE">
      <w:pPr>
        <w:spacing w:line="276" w:lineRule="auto"/>
        <w:rPr>
          <w:rFonts w:ascii="Calibri" w:eastAsia="Aptos" w:hAnsi="Calibri" w:cs="Calibri"/>
          <w:b/>
          <w:bCs/>
          <w:u w:val="single"/>
        </w:rPr>
      </w:pPr>
      <w:r w:rsidRPr="00372C6B">
        <w:rPr>
          <w:rFonts w:ascii="Calibri" w:eastAsia="Aptos" w:hAnsi="Calibri" w:cs="Calibri"/>
          <w:b/>
          <w:bCs/>
          <w:u w:val="single"/>
        </w:rPr>
        <w:lastRenderedPageBreak/>
        <w:t>Finding 18 Failure to Establish Valid SOLs and Identify IROLs.</w:t>
      </w:r>
    </w:p>
    <w:p w14:paraId="1F6F79C1" w14:textId="77777777" w:rsidR="008C08FE" w:rsidRPr="00372C6B" w:rsidRDefault="008C08FE" w:rsidP="008C08FE">
      <w:pPr>
        <w:spacing w:line="276" w:lineRule="auto"/>
        <w:rPr>
          <w:rFonts w:ascii="Calibri" w:eastAsia="Aptos" w:hAnsi="Calibri" w:cs="Calibri"/>
          <w:b/>
          <w:bCs/>
          <w:u w:val="single"/>
        </w:rPr>
      </w:pPr>
      <w:r w:rsidRPr="00372C6B">
        <w:rPr>
          <w:rFonts w:ascii="Calibri" w:eastAsia="Aptos" w:hAnsi="Calibri" w:cs="Calibri"/>
          <w:b/>
          <w:bCs/>
          <w:u w:val="single"/>
        </w:rPr>
        <w:t>Recommendation 18.1:</w:t>
      </w:r>
    </w:p>
    <w:p w14:paraId="129EB4E3" w14:textId="77777777" w:rsidR="008C08FE" w:rsidRPr="00372C6B" w:rsidRDefault="008C08FE" w:rsidP="008C08FE">
      <w:pPr>
        <w:spacing w:line="276" w:lineRule="auto"/>
        <w:rPr>
          <w:rFonts w:ascii="Calibri" w:eastAsia="Aptos" w:hAnsi="Calibri" w:cs="Calibri"/>
        </w:rPr>
      </w:pPr>
      <w:r w:rsidRPr="00372C6B">
        <w:rPr>
          <w:rFonts w:ascii="Calibri" w:eastAsia="Aptos" w:hAnsi="Calibri" w:cs="Calibri"/>
        </w:rPr>
        <w:t>“WECC RC should recognize that IROLs do exist on its system and, thus, should study IROLs in the day-ahead timeframe and monitor potential IROL exceedances in real-time.”</w:t>
      </w:r>
    </w:p>
    <w:p w14:paraId="6D8E1EC9" w14:textId="77777777" w:rsidR="008C08FE" w:rsidRPr="00372C6B" w:rsidRDefault="008C08FE" w:rsidP="008C08FE">
      <w:pPr>
        <w:spacing w:line="276" w:lineRule="auto"/>
        <w:rPr>
          <w:rFonts w:ascii="Calibri" w:eastAsia="Aptos" w:hAnsi="Calibri" w:cs="Calibri"/>
          <w:b/>
          <w:bCs/>
          <w:u w:val="single"/>
        </w:rPr>
      </w:pPr>
      <w:r w:rsidRPr="00372C6B">
        <w:rPr>
          <w:rFonts w:ascii="Calibri" w:eastAsia="Aptos" w:hAnsi="Calibri" w:cs="Calibri"/>
          <w:b/>
          <w:bCs/>
          <w:u w:val="single"/>
        </w:rPr>
        <w:t>Finding 27 Phase Angle Difference Following Loss of Transmission Line.</w:t>
      </w:r>
    </w:p>
    <w:p w14:paraId="003FF950" w14:textId="77777777" w:rsidR="008C08FE" w:rsidRPr="00372C6B" w:rsidRDefault="008C08FE" w:rsidP="008C08FE">
      <w:pPr>
        <w:spacing w:line="276" w:lineRule="auto"/>
        <w:rPr>
          <w:rFonts w:ascii="Calibri" w:eastAsia="Aptos" w:hAnsi="Calibri" w:cs="Calibri"/>
          <w:b/>
          <w:bCs/>
          <w:u w:val="single"/>
        </w:rPr>
      </w:pPr>
      <w:r w:rsidRPr="00372C6B">
        <w:rPr>
          <w:rFonts w:ascii="Calibri" w:eastAsia="Aptos" w:hAnsi="Calibri" w:cs="Calibri"/>
          <w:b/>
          <w:bCs/>
          <w:u w:val="single"/>
        </w:rPr>
        <w:t xml:space="preserve">Recommendation 27: </w:t>
      </w:r>
    </w:p>
    <w:p w14:paraId="314C21F1" w14:textId="77777777" w:rsidR="008C08FE" w:rsidRPr="00372C6B" w:rsidRDefault="008C08FE" w:rsidP="008C08FE">
      <w:pPr>
        <w:spacing w:line="276" w:lineRule="auto"/>
        <w:rPr>
          <w:rFonts w:ascii="Calibri" w:eastAsia="Aptos" w:hAnsi="Calibri" w:cs="Calibri"/>
        </w:rPr>
      </w:pPr>
      <w:r w:rsidRPr="00372C6B">
        <w:rPr>
          <w:rFonts w:ascii="Calibri" w:eastAsia="Aptos" w:hAnsi="Calibri" w:cs="Calibri"/>
        </w:rPr>
        <w:t>“TOPs should have: (1) the tools necessary to determine phase angle differences following the loss of lines; and (2) mitigation and operating plans for reclosing lines with large phase angle differences. TOPs should also train operators to effectively respond to phase angle differences.”</w:t>
      </w:r>
    </w:p>
    <w:p w14:paraId="50BEF703" w14:textId="77777777" w:rsidR="008C08FE" w:rsidRPr="00372C6B" w:rsidRDefault="008C08FE" w:rsidP="008C08FE">
      <w:pPr>
        <w:spacing w:line="276" w:lineRule="auto"/>
        <w:rPr>
          <w:rFonts w:ascii="Calibri" w:eastAsia="Aptos" w:hAnsi="Calibri" w:cs="Calibri"/>
        </w:rPr>
      </w:pPr>
      <w:r w:rsidRPr="00372C6B">
        <w:rPr>
          <w:rFonts w:ascii="Calibri" w:eastAsia="Aptos" w:hAnsi="Calibri" w:cs="Calibri"/>
        </w:rPr>
        <w:t xml:space="preserve"> </w:t>
      </w:r>
    </w:p>
    <w:p w14:paraId="069411A6" w14:textId="4D9364F4" w:rsidR="00BC315C" w:rsidRDefault="003A1AA3" w:rsidP="00823E53">
      <w:pPr>
        <w:pStyle w:val="Heading3"/>
        <w:rPr>
          <w:rFonts w:cstheme="minorBidi"/>
        </w:rPr>
      </w:pPr>
      <w:r>
        <w:rPr>
          <w:rFonts w:ascii="Calibri" w:hAnsi="Calibri" w:cs="Calibri"/>
        </w:rPr>
        <w:t>7</w:t>
      </w:r>
      <w:r w:rsidR="00823E53" w:rsidRPr="00823E53">
        <w:rPr>
          <w:rFonts w:ascii="Calibri" w:hAnsi="Calibri" w:cs="Calibri"/>
        </w:rPr>
        <w:t>.1.2  Northeast Blackout – August 14, 2003</w:t>
      </w:r>
    </w:p>
    <w:p w14:paraId="51576F95" w14:textId="28D22DCB" w:rsidR="00474C43" w:rsidRPr="00372C6B" w:rsidRDefault="00CD608B" w:rsidP="00474C43">
      <w:pPr>
        <w:spacing w:before="240" w:line="276" w:lineRule="auto"/>
        <w:rPr>
          <w:rFonts w:ascii="Calibri" w:eastAsia="Aptos" w:hAnsi="Calibri" w:cs="Calibri"/>
          <w:b/>
          <w:bCs/>
        </w:rPr>
      </w:pPr>
      <w:r w:rsidRPr="00372C6B">
        <w:rPr>
          <w:rFonts w:ascii="Calibri" w:eastAsia="Aptos" w:hAnsi="Calibri" w:cs="Calibri"/>
          <w:b/>
          <w:bCs/>
        </w:rPr>
        <w:t>Event</w:t>
      </w:r>
      <w:r w:rsidR="00474C43" w:rsidRPr="00372C6B">
        <w:rPr>
          <w:rFonts w:ascii="Calibri" w:eastAsia="Aptos" w:hAnsi="Calibri" w:cs="Calibri"/>
          <w:b/>
          <w:bCs/>
        </w:rPr>
        <w:t xml:space="preserve"> Type</w:t>
      </w:r>
    </w:p>
    <w:p w14:paraId="69D08C51" w14:textId="00300D80" w:rsidR="00474C43" w:rsidRPr="00372C6B" w:rsidRDefault="00474C43" w:rsidP="00474C43">
      <w:pPr>
        <w:spacing w:before="240" w:line="276" w:lineRule="auto"/>
        <w:rPr>
          <w:rFonts w:ascii="Calibri" w:eastAsia="Aptos" w:hAnsi="Calibri" w:cs="Calibri"/>
        </w:rPr>
      </w:pPr>
      <w:r w:rsidRPr="00372C6B">
        <w:rPr>
          <w:rFonts w:ascii="Calibri" w:eastAsia="Aptos" w:hAnsi="Calibri" w:cs="Calibri"/>
        </w:rPr>
        <w:t>Cascading outage: successive tripping of lines (400), generators (531), and voltage collapse</w:t>
      </w:r>
      <w:r w:rsidR="00CC66C9" w:rsidRPr="00372C6B">
        <w:rPr>
          <w:rFonts w:ascii="Calibri" w:eastAsia="Aptos" w:hAnsi="Calibri" w:cs="Calibri"/>
        </w:rPr>
        <w:t>.</w:t>
      </w:r>
    </w:p>
    <w:p w14:paraId="2982BADD" w14:textId="2EC28FE9" w:rsidR="004A644F" w:rsidRPr="00372C6B" w:rsidRDefault="004A644F" w:rsidP="006803B2">
      <w:pPr>
        <w:spacing w:before="240" w:line="276" w:lineRule="auto"/>
        <w:rPr>
          <w:rFonts w:ascii="Calibri" w:eastAsia="Aptos" w:hAnsi="Calibri" w:cs="Calibri"/>
          <w:b/>
          <w:bCs/>
        </w:rPr>
      </w:pPr>
      <w:r w:rsidRPr="00372C6B">
        <w:rPr>
          <w:rFonts w:ascii="Calibri" w:eastAsia="Aptos" w:hAnsi="Calibri" w:cs="Calibri"/>
          <w:b/>
          <w:bCs/>
        </w:rPr>
        <w:t xml:space="preserve">Brief </w:t>
      </w:r>
      <w:r w:rsidR="00CD608B" w:rsidRPr="00372C6B">
        <w:rPr>
          <w:rFonts w:ascii="Calibri" w:eastAsia="Aptos" w:hAnsi="Calibri" w:cs="Calibri"/>
          <w:b/>
          <w:bCs/>
        </w:rPr>
        <w:t>Event</w:t>
      </w:r>
      <w:r w:rsidRPr="00372C6B">
        <w:rPr>
          <w:rFonts w:ascii="Calibri" w:eastAsia="Aptos" w:hAnsi="Calibri" w:cs="Calibri"/>
          <w:b/>
          <w:bCs/>
        </w:rPr>
        <w:t xml:space="preserve"> Description</w:t>
      </w:r>
    </w:p>
    <w:p w14:paraId="3B8EFE75" w14:textId="4F733429" w:rsidR="00E63A54" w:rsidRPr="00372C6B" w:rsidRDefault="00E63A54" w:rsidP="00E63A54">
      <w:pPr>
        <w:spacing w:line="276" w:lineRule="auto"/>
        <w:rPr>
          <w:rFonts w:ascii="Calibri" w:eastAsia="Aptos" w:hAnsi="Calibri" w:cs="Calibri"/>
        </w:rPr>
      </w:pPr>
      <w:r w:rsidRPr="00372C6B">
        <w:rPr>
          <w:rFonts w:ascii="Calibri" w:eastAsia="Aptos" w:hAnsi="Calibri" w:cs="Calibri"/>
        </w:rPr>
        <w:t xml:space="preserve">The </w:t>
      </w:r>
      <w:r w:rsidR="007A23C1" w:rsidRPr="00372C6B">
        <w:rPr>
          <w:rFonts w:ascii="Calibri" w:eastAsia="Aptos" w:hAnsi="Calibri" w:cs="Calibri"/>
        </w:rPr>
        <w:t>blackout</w:t>
      </w:r>
      <w:r w:rsidRPr="00372C6B">
        <w:rPr>
          <w:rFonts w:ascii="Calibri" w:eastAsia="Aptos" w:hAnsi="Calibri" w:cs="Calibri"/>
        </w:rPr>
        <w:t xml:space="preserve"> was caused by the loss of key generation and transmission lines in Northeastern Ohio in the hours prior to a rapid cascade of tripping affecting multiple transmission lines and generators shortly after 4 pm Eastern time. Within minutes, over 100 power plants, including 21 nuclear plants, tripped, leading to islanding and blackout at 4:10:59 PM. </w:t>
      </w:r>
    </w:p>
    <w:p w14:paraId="575ADD51" w14:textId="77777777" w:rsidR="00E63A54" w:rsidRPr="00372C6B" w:rsidRDefault="00E63A54" w:rsidP="006803B2">
      <w:pPr>
        <w:spacing w:before="240" w:line="276" w:lineRule="auto"/>
        <w:rPr>
          <w:rFonts w:ascii="Calibri" w:eastAsia="Aptos" w:hAnsi="Calibri" w:cs="Calibri"/>
          <w:b/>
          <w:bCs/>
        </w:rPr>
      </w:pPr>
      <w:r w:rsidRPr="00372C6B">
        <w:rPr>
          <w:rFonts w:ascii="Calibri" w:eastAsia="Aptos" w:hAnsi="Calibri" w:cs="Calibri"/>
          <w:b/>
          <w:bCs/>
        </w:rPr>
        <w:t>Consequences</w:t>
      </w:r>
    </w:p>
    <w:p w14:paraId="4BBDA932" w14:textId="77777777" w:rsidR="00E63A54" w:rsidRPr="00372C6B" w:rsidRDefault="00E63A54" w:rsidP="00E63A54">
      <w:pPr>
        <w:spacing w:line="276" w:lineRule="auto"/>
        <w:rPr>
          <w:rFonts w:ascii="Calibri" w:eastAsia="Aptos" w:hAnsi="Calibri" w:cs="Calibri"/>
        </w:rPr>
      </w:pPr>
      <w:r w:rsidRPr="00372C6B">
        <w:rPr>
          <w:rFonts w:ascii="Calibri" w:eastAsia="Aptos" w:hAnsi="Calibri" w:cs="Calibri"/>
        </w:rPr>
        <w:t xml:space="preserve">The August 14, 2003 blackout remains the largest blackout in North American history that affected an estimated 55 million people (45 million in the US and 10 million in Canada) in the northeastern and midwestern United States, as well as Ontario, Canada. </w:t>
      </w:r>
    </w:p>
    <w:p w14:paraId="669D237B" w14:textId="22076D5B" w:rsidR="00A73E28" w:rsidRPr="00372C6B" w:rsidRDefault="00A73E28" w:rsidP="006803B2">
      <w:pPr>
        <w:spacing w:before="240" w:line="276" w:lineRule="auto"/>
        <w:rPr>
          <w:rFonts w:ascii="Calibri" w:eastAsia="Aptos" w:hAnsi="Calibri" w:cs="Calibri"/>
          <w:b/>
          <w:bCs/>
        </w:rPr>
      </w:pPr>
      <w:r w:rsidRPr="00372C6B">
        <w:rPr>
          <w:rFonts w:ascii="Calibri" w:eastAsia="Aptos" w:hAnsi="Calibri" w:cs="Calibri"/>
          <w:b/>
          <w:bCs/>
        </w:rPr>
        <w:t>Conclusions and Recommendations:</w:t>
      </w:r>
    </w:p>
    <w:p w14:paraId="3005B2DF" w14:textId="77777777" w:rsidR="00407B38" w:rsidRPr="00372C6B" w:rsidRDefault="00407B38" w:rsidP="00601E75">
      <w:pPr>
        <w:spacing w:line="276" w:lineRule="auto"/>
        <w:rPr>
          <w:rFonts w:ascii="Calibri" w:eastAsia="Aptos" w:hAnsi="Calibri" w:cs="Calibri"/>
        </w:rPr>
      </w:pPr>
      <w:r w:rsidRPr="00372C6B">
        <w:rPr>
          <w:rFonts w:ascii="Calibri" w:eastAsia="Aptos" w:hAnsi="Calibri" w:cs="Calibri"/>
        </w:rPr>
        <w:t>A principal cause of the August 14 blackout was a lack of situational awareness, which was in turn the result of inadequate reliability tools and backup capabilities.</w:t>
      </w:r>
    </w:p>
    <w:p w14:paraId="16CA55F6" w14:textId="10B5F85D" w:rsidR="00A73E28" w:rsidRPr="00372C6B" w:rsidRDefault="00A73E28" w:rsidP="00601E75">
      <w:pPr>
        <w:spacing w:line="276" w:lineRule="auto"/>
        <w:rPr>
          <w:rFonts w:ascii="Calibri" w:eastAsia="Aptos" w:hAnsi="Calibri" w:cs="Calibri"/>
        </w:rPr>
      </w:pPr>
      <w:r w:rsidRPr="00372C6B">
        <w:rPr>
          <w:rFonts w:ascii="Calibri" w:eastAsia="Aptos" w:hAnsi="Calibri" w:cs="Calibri"/>
        </w:rPr>
        <w:t>The key recommendation was to make reliability standards mandatory and enforceable, which led to the appointment of the North American Electric Reliability Corporation (NERC) as the Electric Reliability Organization (ERO) for the North American interconnections.</w:t>
      </w:r>
    </w:p>
    <w:p w14:paraId="718CA643" w14:textId="355D57ED" w:rsidR="00A73E28" w:rsidRPr="00372C6B" w:rsidRDefault="00A73E28" w:rsidP="007B2B85">
      <w:pPr>
        <w:spacing w:line="276" w:lineRule="auto"/>
        <w:rPr>
          <w:rFonts w:ascii="Calibri" w:eastAsia="Aptos" w:hAnsi="Calibri" w:cs="Calibri"/>
        </w:rPr>
      </w:pPr>
      <w:r w:rsidRPr="00372C6B">
        <w:rPr>
          <w:rFonts w:ascii="Calibri" w:eastAsia="Aptos" w:hAnsi="Calibri" w:cs="Calibri"/>
        </w:rPr>
        <w:lastRenderedPageBreak/>
        <w:t xml:space="preserve">The key recommendations which are relevant to this SAR are quoted below from the blackout investigation report </w:t>
      </w:r>
      <w:r w:rsidR="007B2B85">
        <w:rPr>
          <w:rFonts w:ascii="Calibri" w:eastAsia="Aptos" w:hAnsi="Calibri" w:cs="Calibri"/>
        </w:rPr>
        <w:t>“</w:t>
      </w:r>
      <w:r w:rsidR="007B2B85" w:rsidRPr="007B2B85">
        <w:rPr>
          <w:rFonts w:ascii="Calibri" w:eastAsia="Aptos" w:hAnsi="Calibri" w:cs="Calibri"/>
        </w:rPr>
        <w:t>Final Report on the</w:t>
      </w:r>
      <w:r w:rsidR="007B2B85">
        <w:rPr>
          <w:rFonts w:ascii="Calibri" w:eastAsia="Aptos" w:hAnsi="Calibri" w:cs="Calibri"/>
        </w:rPr>
        <w:t xml:space="preserve"> </w:t>
      </w:r>
      <w:r w:rsidR="007B2B85" w:rsidRPr="007B2B85">
        <w:rPr>
          <w:rFonts w:ascii="Calibri" w:eastAsia="Aptos" w:hAnsi="Calibri" w:cs="Calibri"/>
        </w:rPr>
        <w:t>August 14, 2003 Blackout</w:t>
      </w:r>
      <w:r w:rsidR="007B2B85">
        <w:rPr>
          <w:rFonts w:ascii="Calibri" w:eastAsia="Aptos" w:hAnsi="Calibri" w:cs="Calibri"/>
        </w:rPr>
        <w:t xml:space="preserve"> </w:t>
      </w:r>
      <w:r w:rsidR="007B2B85" w:rsidRPr="007B2B85">
        <w:rPr>
          <w:rFonts w:ascii="Calibri" w:eastAsia="Aptos" w:hAnsi="Calibri" w:cs="Calibri"/>
        </w:rPr>
        <w:t>in the</w:t>
      </w:r>
      <w:r w:rsidR="007B2B85">
        <w:rPr>
          <w:rFonts w:ascii="Calibri" w:eastAsia="Aptos" w:hAnsi="Calibri" w:cs="Calibri"/>
        </w:rPr>
        <w:t xml:space="preserve"> </w:t>
      </w:r>
      <w:r w:rsidR="007B2B85" w:rsidRPr="007B2B85">
        <w:rPr>
          <w:rFonts w:ascii="Calibri" w:eastAsia="Aptos" w:hAnsi="Calibri" w:cs="Calibri"/>
        </w:rPr>
        <w:t>United States and Canada:</w:t>
      </w:r>
      <w:r w:rsidR="007B2B85">
        <w:rPr>
          <w:rFonts w:ascii="Calibri" w:eastAsia="Aptos" w:hAnsi="Calibri" w:cs="Calibri"/>
        </w:rPr>
        <w:t xml:space="preserve"> </w:t>
      </w:r>
      <w:r w:rsidR="007B2B85" w:rsidRPr="007B2B85">
        <w:rPr>
          <w:rFonts w:ascii="Calibri" w:eastAsia="Aptos" w:hAnsi="Calibri" w:cs="Calibri"/>
        </w:rPr>
        <w:t>Causes and</w:t>
      </w:r>
      <w:r w:rsidR="007B2B85">
        <w:rPr>
          <w:rFonts w:ascii="Calibri" w:eastAsia="Aptos" w:hAnsi="Calibri" w:cs="Calibri"/>
        </w:rPr>
        <w:t xml:space="preserve"> </w:t>
      </w:r>
      <w:r w:rsidR="007B2B85" w:rsidRPr="007B2B85">
        <w:rPr>
          <w:rFonts w:ascii="Calibri" w:eastAsia="Aptos" w:hAnsi="Calibri" w:cs="Calibri"/>
        </w:rPr>
        <w:t>Recommendations</w:t>
      </w:r>
      <w:r w:rsidR="007B2B85">
        <w:rPr>
          <w:rFonts w:ascii="Calibri" w:eastAsia="Aptos" w:hAnsi="Calibri" w:cs="Calibri"/>
        </w:rPr>
        <w:t>”:</w:t>
      </w:r>
    </w:p>
    <w:p w14:paraId="78FD3739" w14:textId="77777777" w:rsidR="00A73E28" w:rsidRPr="00372C6B" w:rsidRDefault="00A73E28" w:rsidP="00A73E28">
      <w:pPr>
        <w:spacing w:line="276" w:lineRule="auto"/>
        <w:rPr>
          <w:rFonts w:ascii="Calibri" w:eastAsia="Aptos" w:hAnsi="Calibri" w:cs="Calibri"/>
          <w:i/>
          <w:iCs/>
        </w:rPr>
      </w:pPr>
      <w:r w:rsidRPr="00372C6B">
        <w:rPr>
          <w:rFonts w:ascii="Calibri" w:eastAsia="Aptos" w:hAnsi="Calibri" w:cs="Calibri"/>
          <w:i/>
          <w:iCs/>
        </w:rPr>
        <w:t>10. Establish an independent source of reliability performance information.</w:t>
      </w:r>
    </w:p>
    <w:p w14:paraId="50D7CCE0" w14:textId="3740A104" w:rsidR="00012B49" w:rsidRPr="00372C6B" w:rsidRDefault="00012B49" w:rsidP="00012B49">
      <w:pPr>
        <w:spacing w:line="276" w:lineRule="auto"/>
        <w:rPr>
          <w:rFonts w:ascii="Calibri" w:eastAsia="Aptos" w:hAnsi="Calibri" w:cs="Calibri"/>
          <w:i/>
          <w:iCs/>
        </w:rPr>
      </w:pPr>
      <w:r w:rsidRPr="00372C6B">
        <w:rPr>
          <w:rFonts w:ascii="Calibri" w:eastAsia="Aptos" w:hAnsi="Calibri" w:cs="Calibri"/>
          <w:i/>
          <w:iCs/>
        </w:rPr>
        <w:t>20. Establish clear definitions for normal, alert and emergency operational system conditions.</w:t>
      </w:r>
      <w:r w:rsidRPr="00372C6B">
        <w:rPr>
          <w:rFonts w:ascii="Calibri" w:eastAsia="Aptos" w:hAnsi="Calibri" w:cs="Calibri"/>
        </w:rPr>
        <w:t xml:space="preserve"> </w:t>
      </w:r>
      <w:r w:rsidRPr="00372C6B">
        <w:rPr>
          <w:rFonts w:ascii="Calibri" w:eastAsia="Aptos" w:hAnsi="Calibri" w:cs="Calibri"/>
          <w:i/>
          <w:iCs/>
        </w:rPr>
        <w:t>Clarify roles, responsibilities, and authorities of reliability coordinators and control areas under each condition.</w:t>
      </w:r>
    </w:p>
    <w:p w14:paraId="50A15B3D" w14:textId="5065AF99" w:rsidR="00A73E28" w:rsidRPr="00372C6B" w:rsidRDefault="00012B49" w:rsidP="00A73E28">
      <w:pPr>
        <w:spacing w:line="276" w:lineRule="auto"/>
        <w:rPr>
          <w:rFonts w:ascii="Calibri" w:eastAsia="Aptos" w:hAnsi="Calibri" w:cs="Calibri"/>
          <w:i/>
          <w:iCs/>
        </w:rPr>
      </w:pPr>
      <w:r w:rsidRPr="00372C6B">
        <w:rPr>
          <w:rFonts w:ascii="Calibri" w:eastAsia="Aptos" w:hAnsi="Calibri" w:cs="Calibri"/>
          <w:i/>
          <w:iCs/>
        </w:rPr>
        <w:t>22. Evaluate and adopt better real-time tools for operators and reliability coordinators.</w:t>
      </w:r>
    </w:p>
    <w:p w14:paraId="6ED0F9F5" w14:textId="70ECF43E" w:rsidR="00012B49" w:rsidRPr="00372C6B" w:rsidRDefault="00012B49" w:rsidP="00012B49">
      <w:pPr>
        <w:spacing w:line="276" w:lineRule="auto"/>
        <w:rPr>
          <w:rFonts w:ascii="Calibri" w:eastAsia="Aptos" w:hAnsi="Calibri" w:cs="Calibri"/>
          <w:i/>
          <w:iCs/>
        </w:rPr>
      </w:pPr>
      <w:r w:rsidRPr="00372C6B">
        <w:rPr>
          <w:rFonts w:ascii="Calibri" w:eastAsia="Aptos" w:hAnsi="Calibri" w:cs="Calibri"/>
          <w:i/>
          <w:iCs/>
        </w:rPr>
        <w:t>A. Give particular attention in its (NERC) report to the development of guidance to control areas and reliability coordinators on the use of automated wide-area situation visualization display systems and the integrity of data used in those systems.</w:t>
      </w:r>
    </w:p>
    <w:p w14:paraId="0351108A" w14:textId="53A2E891" w:rsidR="00E63A54" w:rsidRDefault="007B2B85" w:rsidP="00012B49">
      <w:pPr>
        <w:spacing w:line="276" w:lineRule="auto"/>
        <w:rPr>
          <w:rFonts w:ascii="Calibri" w:eastAsia="Aptos" w:hAnsi="Calibri" w:cs="Calibri"/>
        </w:rPr>
      </w:pPr>
      <w:r>
        <w:rPr>
          <w:rFonts w:ascii="Calibri" w:eastAsia="Aptos" w:hAnsi="Calibri" w:cs="Calibri"/>
        </w:rPr>
        <w:t>Report “</w:t>
      </w:r>
      <w:r w:rsidRPr="007B2B85">
        <w:rPr>
          <w:rFonts w:ascii="Calibri" w:eastAsia="Aptos" w:hAnsi="Calibri" w:cs="Calibri"/>
        </w:rPr>
        <w:t>Final Report on the</w:t>
      </w:r>
      <w:r>
        <w:rPr>
          <w:rFonts w:ascii="Calibri" w:eastAsia="Aptos" w:hAnsi="Calibri" w:cs="Calibri"/>
        </w:rPr>
        <w:t xml:space="preserve"> </w:t>
      </w:r>
      <w:r w:rsidRPr="007B2B85">
        <w:rPr>
          <w:rFonts w:ascii="Calibri" w:eastAsia="Aptos" w:hAnsi="Calibri" w:cs="Calibri"/>
        </w:rPr>
        <w:t>August 14, 2003 Blackout</w:t>
      </w:r>
      <w:r>
        <w:rPr>
          <w:rFonts w:ascii="Calibri" w:eastAsia="Aptos" w:hAnsi="Calibri" w:cs="Calibri"/>
        </w:rPr>
        <w:t xml:space="preserve"> </w:t>
      </w:r>
      <w:r w:rsidRPr="007B2B85">
        <w:rPr>
          <w:rFonts w:ascii="Calibri" w:eastAsia="Aptos" w:hAnsi="Calibri" w:cs="Calibri"/>
        </w:rPr>
        <w:t>in the</w:t>
      </w:r>
      <w:r>
        <w:rPr>
          <w:rFonts w:ascii="Calibri" w:eastAsia="Aptos" w:hAnsi="Calibri" w:cs="Calibri"/>
        </w:rPr>
        <w:t xml:space="preserve"> </w:t>
      </w:r>
      <w:r w:rsidRPr="007B2B85">
        <w:rPr>
          <w:rFonts w:ascii="Calibri" w:eastAsia="Aptos" w:hAnsi="Calibri" w:cs="Calibri"/>
        </w:rPr>
        <w:t>United States and Canada:</w:t>
      </w:r>
      <w:r>
        <w:rPr>
          <w:rFonts w:ascii="Calibri" w:eastAsia="Aptos" w:hAnsi="Calibri" w:cs="Calibri"/>
        </w:rPr>
        <w:t xml:space="preserve"> </w:t>
      </w:r>
      <w:r w:rsidRPr="007B2B85">
        <w:rPr>
          <w:rFonts w:ascii="Calibri" w:eastAsia="Aptos" w:hAnsi="Calibri" w:cs="Calibri"/>
        </w:rPr>
        <w:t>Causes and</w:t>
      </w:r>
      <w:r>
        <w:rPr>
          <w:rFonts w:ascii="Calibri" w:eastAsia="Aptos" w:hAnsi="Calibri" w:cs="Calibri"/>
        </w:rPr>
        <w:t xml:space="preserve"> </w:t>
      </w:r>
      <w:r w:rsidRPr="007B2B85">
        <w:rPr>
          <w:rFonts w:ascii="Calibri" w:eastAsia="Aptos" w:hAnsi="Calibri" w:cs="Calibri"/>
        </w:rPr>
        <w:t>Recommendations</w:t>
      </w:r>
      <w:r>
        <w:rPr>
          <w:rFonts w:ascii="Calibri" w:eastAsia="Aptos" w:hAnsi="Calibri" w:cs="Calibri"/>
        </w:rPr>
        <w:t xml:space="preserve">”, </w:t>
      </w:r>
      <w:r w:rsidRPr="007B2B85">
        <w:rPr>
          <w:rFonts w:ascii="Calibri" w:eastAsia="Aptos" w:hAnsi="Calibri" w:cs="Calibri"/>
        </w:rPr>
        <w:t>U.S.-Canada Power System Outage Task Forc</w:t>
      </w:r>
      <w:r>
        <w:rPr>
          <w:rFonts w:ascii="Calibri" w:eastAsia="Aptos" w:hAnsi="Calibri" w:cs="Calibri"/>
        </w:rPr>
        <w:t xml:space="preserve">e, April 2004, available at </w:t>
      </w:r>
      <w:hyperlink r:id="rId31" w:history="1">
        <w:r w:rsidRPr="006805FF">
          <w:rPr>
            <w:rStyle w:val="Hyperlink"/>
            <w:rFonts w:ascii="Calibri" w:eastAsia="Aptos" w:hAnsi="Calibri" w:cs="Calibri"/>
          </w:rPr>
          <w:t>https://www.energy.gov/sites/prod/files/oeprod/DocumentsandMedia/BlackoutFinal-Web.pdf</w:t>
        </w:r>
      </w:hyperlink>
      <w:r>
        <w:rPr>
          <w:rFonts w:ascii="Calibri" w:eastAsia="Aptos" w:hAnsi="Calibri" w:cs="Calibri"/>
        </w:rPr>
        <w:t xml:space="preserve">. </w:t>
      </w:r>
    </w:p>
    <w:p w14:paraId="6EDC4889" w14:textId="77777777" w:rsidR="007B2B85" w:rsidRPr="00372C6B" w:rsidRDefault="007B2B85" w:rsidP="00012B49">
      <w:pPr>
        <w:spacing w:line="276" w:lineRule="auto"/>
        <w:rPr>
          <w:rFonts w:ascii="Calibri" w:eastAsia="Aptos" w:hAnsi="Calibri" w:cs="Calibri"/>
        </w:rPr>
      </w:pPr>
    </w:p>
    <w:p w14:paraId="1D23EA79" w14:textId="272B688E" w:rsidR="00BC315C" w:rsidRDefault="003A1AA3" w:rsidP="00957CF5">
      <w:pPr>
        <w:pStyle w:val="Heading3"/>
        <w:rPr>
          <w:rFonts w:cstheme="minorBidi"/>
        </w:rPr>
      </w:pPr>
      <w:r>
        <w:rPr>
          <w:rFonts w:ascii="Calibri" w:hAnsi="Calibri" w:cs="Calibri"/>
        </w:rPr>
        <w:t>7</w:t>
      </w:r>
      <w:r w:rsidR="00957CF5" w:rsidRPr="00957CF5">
        <w:rPr>
          <w:rFonts w:ascii="Calibri" w:hAnsi="Calibri" w:cs="Calibri"/>
        </w:rPr>
        <w:t>.1.3  Western US Blackout – August 10, 1996</w:t>
      </w:r>
    </w:p>
    <w:p w14:paraId="042BB897" w14:textId="517FB57C" w:rsidR="00007E5E" w:rsidRPr="00372C6B" w:rsidRDefault="0054429E" w:rsidP="006803B2">
      <w:pPr>
        <w:spacing w:before="240" w:line="276" w:lineRule="auto"/>
        <w:rPr>
          <w:rFonts w:ascii="Calibri" w:eastAsia="Aptos" w:hAnsi="Calibri" w:cs="Calibri"/>
          <w:b/>
          <w:bCs/>
        </w:rPr>
      </w:pPr>
      <w:r w:rsidRPr="00372C6B">
        <w:rPr>
          <w:rFonts w:ascii="Calibri" w:eastAsia="Aptos" w:hAnsi="Calibri" w:cs="Calibri"/>
          <w:b/>
          <w:bCs/>
        </w:rPr>
        <w:t>Event</w:t>
      </w:r>
      <w:r w:rsidR="00007E5E" w:rsidRPr="00372C6B">
        <w:rPr>
          <w:rFonts w:ascii="Calibri" w:eastAsia="Aptos" w:hAnsi="Calibri" w:cs="Calibri"/>
          <w:b/>
          <w:bCs/>
        </w:rPr>
        <w:t xml:space="preserve"> Type</w:t>
      </w:r>
    </w:p>
    <w:p w14:paraId="087902BD" w14:textId="4ECBD335" w:rsidR="00007E5E" w:rsidRPr="00372C6B" w:rsidRDefault="00007E5E" w:rsidP="00007E5E">
      <w:pPr>
        <w:spacing w:before="160" w:line="276" w:lineRule="auto"/>
        <w:rPr>
          <w:rFonts w:ascii="Calibri" w:eastAsia="Aptos" w:hAnsi="Calibri" w:cs="Calibri"/>
        </w:rPr>
      </w:pPr>
      <w:r w:rsidRPr="00372C6B">
        <w:rPr>
          <w:rFonts w:ascii="Calibri" w:eastAsia="Aptos" w:hAnsi="Calibri" w:cs="Calibri"/>
        </w:rPr>
        <w:t>Cascading event</w:t>
      </w:r>
      <w:r w:rsidR="007169E2" w:rsidRPr="00372C6B">
        <w:rPr>
          <w:rFonts w:ascii="Calibri" w:eastAsia="Aptos" w:hAnsi="Calibri" w:cs="Calibri"/>
        </w:rPr>
        <w:t xml:space="preserve">: </w:t>
      </w:r>
      <w:r w:rsidR="000D6DDD">
        <w:rPr>
          <w:rFonts w:ascii="Calibri" w:eastAsia="Aptos" w:hAnsi="Calibri" w:cs="Calibri"/>
        </w:rPr>
        <w:t>s</w:t>
      </w:r>
      <w:r w:rsidR="000D6DDD" w:rsidRPr="000D6DDD">
        <w:rPr>
          <w:rFonts w:ascii="Calibri" w:eastAsia="Aptos" w:hAnsi="Calibri" w:cs="Calibri"/>
        </w:rPr>
        <w:t xml:space="preserve">mall-signal instability, </w:t>
      </w:r>
      <w:r w:rsidR="000D6DDD">
        <w:rPr>
          <w:rFonts w:ascii="Calibri" w:eastAsia="Aptos" w:hAnsi="Calibri" w:cs="Calibri"/>
        </w:rPr>
        <w:t>o</w:t>
      </w:r>
      <w:r w:rsidR="000D6DDD" w:rsidRPr="000D6DDD">
        <w:rPr>
          <w:rFonts w:ascii="Calibri" w:eastAsia="Aptos" w:hAnsi="Calibri" w:cs="Calibri"/>
        </w:rPr>
        <w:t>scillatory instability</w:t>
      </w:r>
    </w:p>
    <w:p w14:paraId="3E79DB75" w14:textId="73496CD0" w:rsidR="007F5CC3" w:rsidRPr="00372C6B" w:rsidRDefault="007F5CC3" w:rsidP="006803B2">
      <w:pPr>
        <w:spacing w:before="240" w:line="276" w:lineRule="auto"/>
        <w:rPr>
          <w:rFonts w:ascii="Calibri" w:eastAsia="Aptos" w:hAnsi="Calibri" w:cs="Calibri"/>
          <w:b/>
          <w:bCs/>
        </w:rPr>
      </w:pPr>
      <w:r w:rsidRPr="00372C6B">
        <w:rPr>
          <w:rFonts w:ascii="Calibri" w:eastAsia="Aptos" w:hAnsi="Calibri" w:cs="Calibri"/>
          <w:b/>
          <w:bCs/>
        </w:rPr>
        <w:t xml:space="preserve">Brief </w:t>
      </w:r>
      <w:r w:rsidR="0054429E" w:rsidRPr="00372C6B">
        <w:rPr>
          <w:rFonts w:ascii="Calibri" w:eastAsia="Aptos" w:hAnsi="Calibri" w:cs="Calibri"/>
          <w:b/>
          <w:bCs/>
        </w:rPr>
        <w:t>Event</w:t>
      </w:r>
      <w:r w:rsidRPr="00372C6B">
        <w:rPr>
          <w:rFonts w:ascii="Calibri" w:eastAsia="Aptos" w:hAnsi="Calibri" w:cs="Calibri"/>
          <w:b/>
          <w:bCs/>
        </w:rPr>
        <w:t xml:space="preserve"> Description</w:t>
      </w:r>
    </w:p>
    <w:p w14:paraId="66CE59B6" w14:textId="60E2676E" w:rsidR="007F5CC3" w:rsidRPr="00372C6B" w:rsidRDefault="007F5CC3" w:rsidP="007F5CC3">
      <w:pPr>
        <w:spacing w:line="276" w:lineRule="auto"/>
        <w:rPr>
          <w:rFonts w:ascii="Calibri" w:eastAsia="Aptos" w:hAnsi="Calibri" w:cs="Calibri"/>
        </w:rPr>
      </w:pPr>
      <w:r w:rsidRPr="00372C6B">
        <w:rPr>
          <w:rFonts w:ascii="Calibri" w:eastAsia="Aptos" w:hAnsi="Calibri" w:cs="Calibri"/>
        </w:rPr>
        <w:t xml:space="preserve">The blackout occurred on an unusually hot day when the system was stressed from the tripping of key 500 kV lines in the Pacific Northwest in the hours before the event. The blackout was initiated by the loss of the Allston-Keeler 500 kV line and the 230 kV Ross-Lexington lines after they sagged into trees. Shortly after, a relay misoperation at the McNary hydropower plant led to the loss of 900 MW, causing small-signal instability in the 0.25 Hz North-South mode of the Western Interconnection. The interarea oscillations quickly grew in magnitude, causing a tripping of the 500 kV California-Oregon AC tie lines. </w:t>
      </w:r>
    </w:p>
    <w:p w14:paraId="5739847C" w14:textId="77777777" w:rsidR="007F5CC3" w:rsidRPr="00372C6B" w:rsidRDefault="007F5CC3" w:rsidP="006803B2">
      <w:pPr>
        <w:spacing w:before="240" w:line="276" w:lineRule="auto"/>
        <w:rPr>
          <w:rFonts w:ascii="Calibri" w:eastAsia="Aptos" w:hAnsi="Calibri" w:cs="Calibri"/>
          <w:b/>
          <w:bCs/>
        </w:rPr>
      </w:pPr>
      <w:r w:rsidRPr="00372C6B">
        <w:rPr>
          <w:rFonts w:ascii="Calibri" w:eastAsia="Aptos" w:hAnsi="Calibri" w:cs="Calibri"/>
          <w:b/>
          <w:bCs/>
        </w:rPr>
        <w:t>Consequences</w:t>
      </w:r>
    </w:p>
    <w:p w14:paraId="63F50E97" w14:textId="50E411F9" w:rsidR="007F5CC3" w:rsidRPr="00372C6B" w:rsidRDefault="007F5CC3" w:rsidP="008C08FE">
      <w:pPr>
        <w:spacing w:line="276" w:lineRule="auto"/>
        <w:rPr>
          <w:rFonts w:ascii="Calibri" w:eastAsia="Aptos" w:hAnsi="Calibri" w:cs="Calibri"/>
        </w:rPr>
      </w:pPr>
      <w:r w:rsidRPr="00372C6B">
        <w:rPr>
          <w:rFonts w:ascii="Calibri" w:eastAsia="Aptos" w:hAnsi="Calibri" w:cs="Calibri"/>
        </w:rPr>
        <w:t>This event split the Western interconnection into four islands, and approximately 7.5 million customers in 14 states, two Canadian provinces, and Northern Mexico lost power.</w:t>
      </w:r>
    </w:p>
    <w:p w14:paraId="4861E61E" w14:textId="7C583CCA" w:rsidR="005D545E" w:rsidRPr="00372C6B" w:rsidRDefault="005D545E" w:rsidP="008C08FE">
      <w:pPr>
        <w:spacing w:line="276" w:lineRule="auto"/>
        <w:rPr>
          <w:rFonts w:ascii="Calibri" w:eastAsia="Aptos" w:hAnsi="Calibri" w:cs="Calibri"/>
        </w:rPr>
      </w:pPr>
      <w:r w:rsidRPr="00372C6B">
        <w:rPr>
          <w:rFonts w:ascii="Calibri" w:eastAsia="Aptos" w:hAnsi="Calibri" w:cs="Calibri"/>
        </w:rPr>
        <w:t>28,000 MW of demand was shed by under-frequency load-shedding relays.</w:t>
      </w:r>
    </w:p>
    <w:p w14:paraId="39DC5D00" w14:textId="77777777" w:rsidR="00407B38" w:rsidRPr="00372C6B" w:rsidRDefault="00407B38" w:rsidP="006803B2">
      <w:pPr>
        <w:spacing w:before="240" w:line="276" w:lineRule="auto"/>
        <w:rPr>
          <w:rFonts w:ascii="Calibri" w:eastAsia="Aptos" w:hAnsi="Calibri" w:cs="Calibri"/>
          <w:b/>
          <w:bCs/>
        </w:rPr>
      </w:pPr>
      <w:r w:rsidRPr="00372C6B">
        <w:rPr>
          <w:rFonts w:ascii="Calibri" w:eastAsia="Aptos" w:hAnsi="Calibri" w:cs="Calibri"/>
          <w:b/>
          <w:bCs/>
        </w:rPr>
        <w:lastRenderedPageBreak/>
        <w:t>Conclusions and Recommendations</w:t>
      </w:r>
    </w:p>
    <w:p w14:paraId="5BC00CD8" w14:textId="69EB0F19" w:rsidR="00407B38" w:rsidRPr="00372C6B" w:rsidRDefault="00407B38" w:rsidP="008C08FE">
      <w:pPr>
        <w:spacing w:line="276" w:lineRule="auto"/>
        <w:rPr>
          <w:rFonts w:ascii="Calibri" w:eastAsia="Aptos" w:hAnsi="Calibri" w:cs="Calibri"/>
        </w:rPr>
      </w:pPr>
      <w:r w:rsidRPr="00372C6B">
        <w:rPr>
          <w:rFonts w:ascii="Calibri" w:eastAsia="Aptos" w:hAnsi="Calibri" w:cs="Calibri"/>
        </w:rPr>
        <w:t>The high loading on the California-Oregon 500 kV tie lines was listed as a principal contributor to the event, which, together with the loss of key 500 kV transmission lines in the hours prior to the blackout, weakened the system. BPA’s right-of-way maintenance was deemed inadequate, leading to the tripping of key transmission lines as they sagged into trees. In addition, the 500-kV Pacific DC Intertie may have contributed to the growing oscillations as well.</w:t>
      </w:r>
    </w:p>
    <w:p w14:paraId="50C52D3F" w14:textId="4A2D2B73" w:rsidR="00954216" w:rsidRPr="00372C6B" w:rsidRDefault="00954216" w:rsidP="008C08FE">
      <w:pPr>
        <w:spacing w:line="276" w:lineRule="auto"/>
        <w:rPr>
          <w:rFonts w:ascii="Calibri" w:eastAsia="Aptos" w:hAnsi="Calibri" w:cs="Calibri"/>
          <w:u w:val="single"/>
        </w:rPr>
      </w:pPr>
      <w:r w:rsidRPr="00372C6B">
        <w:rPr>
          <w:rFonts w:ascii="Calibri" w:eastAsia="Aptos" w:hAnsi="Calibri" w:cs="Calibri"/>
          <w:u w:val="single"/>
        </w:rPr>
        <w:t>Recommendation from the event:</w:t>
      </w:r>
    </w:p>
    <w:p w14:paraId="771C90A3" w14:textId="091B80CA" w:rsidR="00407B38" w:rsidRPr="00372C6B" w:rsidRDefault="00954216" w:rsidP="008C08FE">
      <w:pPr>
        <w:spacing w:line="276" w:lineRule="auto"/>
        <w:rPr>
          <w:rFonts w:ascii="Calibri" w:eastAsia="Aptos" w:hAnsi="Calibri" w:cs="Calibri"/>
          <w:i/>
          <w:iCs/>
        </w:rPr>
      </w:pPr>
      <w:r w:rsidRPr="00372C6B">
        <w:rPr>
          <w:rFonts w:ascii="Calibri" w:eastAsia="Aptos" w:hAnsi="Calibri" w:cs="Calibri"/>
          <w:i/>
          <w:iCs/>
        </w:rPr>
        <w:t xml:space="preserve">1. </w:t>
      </w:r>
      <w:r w:rsidR="00407B38" w:rsidRPr="00372C6B">
        <w:rPr>
          <w:rFonts w:ascii="Calibri" w:eastAsia="Aptos" w:hAnsi="Calibri" w:cs="Calibri"/>
          <w:i/>
          <w:iCs/>
        </w:rPr>
        <w:t xml:space="preserve">By November 1997, the </w:t>
      </w:r>
      <w:r w:rsidR="00BA6816" w:rsidRPr="00372C6B">
        <w:rPr>
          <w:rFonts w:ascii="Calibri" w:eastAsia="Aptos" w:hAnsi="Calibri" w:cs="Calibri"/>
          <w:i/>
          <w:iCs/>
        </w:rPr>
        <w:t>Western Systems Coordinating Council</w:t>
      </w:r>
      <w:r w:rsidRPr="00372C6B">
        <w:rPr>
          <w:rFonts w:ascii="Calibri" w:eastAsia="Aptos" w:hAnsi="Calibri" w:cs="Calibri"/>
          <w:i/>
          <w:iCs/>
        </w:rPr>
        <w:t xml:space="preserve"> (</w:t>
      </w:r>
      <w:r w:rsidR="00BA6816" w:rsidRPr="00372C6B">
        <w:rPr>
          <w:rFonts w:ascii="Calibri" w:eastAsia="Aptos" w:hAnsi="Calibri" w:cs="Calibri"/>
          <w:i/>
          <w:iCs/>
        </w:rPr>
        <w:t>now WECC</w:t>
      </w:r>
      <w:r w:rsidRPr="00372C6B">
        <w:rPr>
          <w:rFonts w:ascii="Calibri" w:eastAsia="Aptos" w:hAnsi="Calibri" w:cs="Calibri"/>
          <w:i/>
          <w:iCs/>
        </w:rPr>
        <w:t>)</w:t>
      </w:r>
      <w:r w:rsidR="00BA6816" w:rsidRPr="00372C6B">
        <w:rPr>
          <w:rFonts w:ascii="Calibri" w:eastAsia="Aptos" w:hAnsi="Calibri" w:cs="Calibri"/>
          <w:i/>
          <w:iCs/>
        </w:rPr>
        <w:t xml:space="preserve"> </w:t>
      </w:r>
      <w:r w:rsidR="00407B38" w:rsidRPr="00372C6B">
        <w:rPr>
          <w:rFonts w:ascii="Calibri" w:eastAsia="Aptos" w:hAnsi="Calibri" w:cs="Calibri"/>
          <w:i/>
          <w:iCs/>
        </w:rPr>
        <w:t>Compliance Work Group (CWG) shall determine what tests should be applied to generating units to determine their steady-state and dynamic -reactive capabilities and provide appropriate guidelines. They shall also determine what unit MVA level must be tested and develop a procedure to ensure uniform testing, including the frequency of testing, and a recommended priority list of units to be tested first.</w:t>
      </w:r>
    </w:p>
    <w:p w14:paraId="3FB597BC" w14:textId="77777777" w:rsidR="00407B38" w:rsidRPr="00372C6B" w:rsidRDefault="00407B38" w:rsidP="008C08FE">
      <w:pPr>
        <w:spacing w:line="276" w:lineRule="auto"/>
        <w:rPr>
          <w:rFonts w:ascii="Calibri" w:eastAsia="Aptos" w:hAnsi="Calibri" w:cs="Calibri"/>
        </w:rPr>
      </w:pPr>
    </w:p>
    <w:p w14:paraId="36657965" w14:textId="6B34B88E" w:rsidR="00BC315C" w:rsidRDefault="003A1AA3" w:rsidP="00B33C41">
      <w:pPr>
        <w:pStyle w:val="Heading3"/>
        <w:rPr>
          <w:rFonts w:cstheme="minorBidi"/>
        </w:rPr>
      </w:pPr>
      <w:r>
        <w:rPr>
          <w:rFonts w:ascii="Calibri" w:hAnsi="Calibri" w:cs="Calibri"/>
        </w:rPr>
        <w:t>7</w:t>
      </w:r>
      <w:r w:rsidR="00B33C41" w:rsidRPr="00B33C41">
        <w:rPr>
          <w:rFonts w:ascii="Calibri" w:hAnsi="Calibri" w:cs="Calibri"/>
        </w:rPr>
        <w:t>.1.4  Western US Blackout – July 2, 1996</w:t>
      </w:r>
    </w:p>
    <w:p w14:paraId="00FFD0D0" w14:textId="52E31F70" w:rsidR="001705D5" w:rsidRPr="00372C6B" w:rsidRDefault="0054429E" w:rsidP="006803B2">
      <w:pPr>
        <w:spacing w:before="240" w:line="276" w:lineRule="auto"/>
        <w:rPr>
          <w:rFonts w:ascii="Calibri" w:eastAsia="Aptos" w:hAnsi="Calibri" w:cs="Calibri"/>
          <w:b/>
          <w:bCs/>
        </w:rPr>
      </w:pPr>
      <w:r w:rsidRPr="00372C6B">
        <w:rPr>
          <w:rFonts w:ascii="Calibri" w:eastAsia="Aptos" w:hAnsi="Calibri" w:cs="Calibri"/>
          <w:b/>
          <w:bCs/>
        </w:rPr>
        <w:t>Event</w:t>
      </w:r>
      <w:r w:rsidR="001705D5" w:rsidRPr="00372C6B">
        <w:rPr>
          <w:rFonts w:ascii="Calibri" w:eastAsia="Aptos" w:hAnsi="Calibri" w:cs="Calibri"/>
          <w:b/>
          <w:bCs/>
        </w:rPr>
        <w:t xml:space="preserve"> Type</w:t>
      </w:r>
    </w:p>
    <w:p w14:paraId="70FA618C" w14:textId="2F77AA62" w:rsidR="001705D5" w:rsidRPr="00372C6B" w:rsidRDefault="001705D5" w:rsidP="001705D5">
      <w:pPr>
        <w:spacing w:before="160" w:line="276" w:lineRule="auto"/>
        <w:rPr>
          <w:rFonts w:ascii="Calibri" w:eastAsia="Aptos" w:hAnsi="Calibri" w:cs="Calibri"/>
        </w:rPr>
      </w:pPr>
      <w:r w:rsidRPr="00372C6B">
        <w:rPr>
          <w:rFonts w:ascii="Calibri" w:eastAsia="Aptos" w:hAnsi="Calibri" w:cs="Calibri"/>
        </w:rPr>
        <w:t>Cascading event</w:t>
      </w:r>
      <w:r w:rsidR="005D545E" w:rsidRPr="00372C6B">
        <w:rPr>
          <w:rFonts w:ascii="Calibri" w:eastAsia="Aptos" w:hAnsi="Calibri" w:cs="Calibri"/>
        </w:rPr>
        <w:t>: successive tripping of lines, generators and voltage collapse</w:t>
      </w:r>
    </w:p>
    <w:p w14:paraId="507D3B95" w14:textId="41323AAB" w:rsidR="001705D5" w:rsidRPr="00372C6B" w:rsidRDefault="001705D5" w:rsidP="006803B2">
      <w:pPr>
        <w:spacing w:before="240" w:line="276" w:lineRule="auto"/>
        <w:rPr>
          <w:rFonts w:ascii="Calibri" w:eastAsia="Aptos" w:hAnsi="Calibri" w:cs="Calibri"/>
          <w:b/>
          <w:bCs/>
        </w:rPr>
      </w:pPr>
      <w:r w:rsidRPr="00372C6B">
        <w:rPr>
          <w:rFonts w:ascii="Calibri" w:eastAsia="Aptos" w:hAnsi="Calibri" w:cs="Calibri"/>
          <w:b/>
          <w:bCs/>
        </w:rPr>
        <w:t xml:space="preserve">Brief </w:t>
      </w:r>
      <w:r w:rsidR="0054429E" w:rsidRPr="00372C6B">
        <w:rPr>
          <w:rFonts w:ascii="Calibri" w:eastAsia="Aptos" w:hAnsi="Calibri" w:cs="Calibri"/>
          <w:b/>
          <w:bCs/>
        </w:rPr>
        <w:t>Event</w:t>
      </w:r>
      <w:r w:rsidRPr="00372C6B">
        <w:rPr>
          <w:rFonts w:ascii="Calibri" w:eastAsia="Aptos" w:hAnsi="Calibri" w:cs="Calibri"/>
          <w:b/>
          <w:bCs/>
        </w:rPr>
        <w:t xml:space="preserve"> Description</w:t>
      </w:r>
    </w:p>
    <w:p w14:paraId="7D869973" w14:textId="12344AC0" w:rsidR="008C08FE" w:rsidRPr="00372C6B" w:rsidRDefault="001A0683" w:rsidP="008C08FE">
      <w:pPr>
        <w:spacing w:line="276" w:lineRule="auto"/>
        <w:rPr>
          <w:rFonts w:ascii="Calibri" w:eastAsia="Aptos" w:hAnsi="Calibri" w:cs="Calibri"/>
        </w:rPr>
      </w:pPr>
      <w:r w:rsidRPr="00372C6B">
        <w:rPr>
          <w:rFonts w:ascii="Calibri" w:eastAsia="Aptos" w:hAnsi="Calibri" w:cs="Calibri"/>
        </w:rPr>
        <w:t>This event was caused by a severe reactive power shortage in Idaho following an N-2 contingency that led to the loss of power for about 2 million customers. The event started with a fault on the 345-kV Jim Bridger to Kinport line, which caused the tripping of this line and the neighboring line from Jim Bridger to Goshen due to a faulty relay operation. Subsequently, two of the Jim Bridger units were tripped by a remedial action scheme that correctly bypassed some series capacitors and inserted a shunt capacitor bank in that region of the system. Unfortunately, the remedial action scheme was insufficient to stabilize the Idaho voltages, which began to decline. A zone 3 misoperation of the 230-kV Roundup-La Grande line further stressed the system, and the flows into the Idaho region surged, leading to a voltage collapse in Idaho. This quickly spread to the 500-kV California-Oregon tie lines, which tripped, eventually leading to system islanding and the blackout.</w:t>
      </w:r>
    </w:p>
    <w:p w14:paraId="5F4DD4CE" w14:textId="77777777" w:rsidR="00646BB8" w:rsidRPr="00372C6B" w:rsidRDefault="00646BB8" w:rsidP="006803B2">
      <w:pPr>
        <w:spacing w:before="240" w:line="276" w:lineRule="auto"/>
        <w:rPr>
          <w:rFonts w:ascii="Calibri" w:eastAsia="Aptos" w:hAnsi="Calibri" w:cs="Calibri"/>
          <w:b/>
          <w:bCs/>
        </w:rPr>
      </w:pPr>
      <w:r w:rsidRPr="00372C6B">
        <w:rPr>
          <w:rFonts w:ascii="Calibri" w:eastAsia="Aptos" w:hAnsi="Calibri" w:cs="Calibri"/>
          <w:b/>
          <w:bCs/>
        </w:rPr>
        <w:t>Consequences</w:t>
      </w:r>
    </w:p>
    <w:p w14:paraId="6C40413A" w14:textId="3C18FDCB" w:rsidR="00646BB8" w:rsidRPr="00372C6B" w:rsidRDefault="005D545E" w:rsidP="00646BB8">
      <w:pPr>
        <w:spacing w:before="160" w:line="276" w:lineRule="auto"/>
        <w:rPr>
          <w:rFonts w:ascii="Calibri" w:eastAsia="Aptos" w:hAnsi="Calibri" w:cs="Calibri"/>
        </w:rPr>
      </w:pPr>
      <w:r w:rsidRPr="00372C6B">
        <w:rPr>
          <w:rFonts w:ascii="Calibri" w:eastAsia="Aptos" w:hAnsi="Calibri" w:cs="Calibri"/>
        </w:rPr>
        <w:t>2,000,000 customers (10 % of the customers in the WECC); 11,850 MW lost</w:t>
      </w:r>
    </w:p>
    <w:p w14:paraId="706A82D0" w14:textId="41296624" w:rsidR="00646BB8" w:rsidRPr="00372C6B" w:rsidRDefault="00646BB8" w:rsidP="006803B2">
      <w:pPr>
        <w:spacing w:before="240" w:line="276" w:lineRule="auto"/>
        <w:rPr>
          <w:rFonts w:ascii="Calibri" w:eastAsia="Aptos" w:hAnsi="Calibri" w:cs="Calibri"/>
          <w:b/>
          <w:bCs/>
        </w:rPr>
      </w:pPr>
      <w:r w:rsidRPr="00372C6B">
        <w:rPr>
          <w:rFonts w:ascii="Calibri" w:eastAsia="Aptos" w:hAnsi="Calibri" w:cs="Calibri"/>
          <w:b/>
          <w:bCs/>
        </w:rPr>
        <w:lastRenderedPageBreak/>
        <w:t>Conclusions and Recommendations</w:t>
      </w:r>
    </w:p>
    <w:p w14:paraId="2A8DE008" w14:textId="77777777" w:rsidR="00646BB8" w:rsidRPr="00372C6B" w:rsidRDefault="00646BB8" w:rsidP="00646BB8">
      <w:pPr>
        <w:spacing w:line="276" w:lineRule="auto"/>
        <w:rPr>
          <w:rFonts w:ascii="Calibri" w:eastAsia="Aptos" w:hAnsi="Calibri" w:cs="Calibri"/>
        </w:rPr>
      </w:pPr>
      <w:r w:rsidRPr="00372C6B">
        <w:rPr>
          <w:rFonts w:ascii="Calibri" w:eastAsia="Aptos" w:hAnsi="Calibri" w:cs="Calibri"/>
        </w:rPr>
        <w:t>Insufficient voltage support in the Northwest and Idaho for the operating conditions of July 2 was a primary factor that contributed to the widespread impact of this disturbance.</w:t>
      </w:r>
    </w:p>
    <w:p w14:paraId="03E66358" w14:textId="77777777" w:rsidR="00646BB8" w:rsidRPr="00372C6B" w:rsidRDefault="00646BB8" w:rsidP="00646BB8">
      <w:pPr>
        <w:spacing w:line="276" w:lineRule="auto"/>
        <w:rPr>
          <w:rFonts w:ascii="Calibri" w:eastAsia="Aptos" w:hAnsi="Calibri" w:cs="Calibri"/>
        </w:rPr>
      </w:pPr>
      <w:r w:rsidRPr="00372C6B">
        <w:rPr>
          <w:rFonts w:ascii="Calibri" w:eastAsia="Aptos" w:hAnsi="Calibri" w:cs="Calibri"/>
        </w:rPr>
        <w:t xml:space="preserve">The simultaneous combination of operating conditions on July 2, characterized by record peak summer demands in Idaho and Utah, maximum water flow conditions in the Pacific Northwest, high north-to-south electricity transfers on the California -Oregon ac and dc interties, transfers from the Northwest to Idaho and Utah, high volumes of electricity transfers from Canada to the Northwest, and high amounts of thermal generation in Wyoming and Utah were not anticipated or studied. </w:t>
      </w:r>
    </w:p>
    <w:p w14:paraId="4F34F8F5" w14:textId="29812535" w:rsidR="00646BB8" w:rsidRPr="00372C6B" w:rsidRDefault="00646BB8" w:rsidP="00646BB8">
      <w:pPr>
        <w:spacing w:line="276" w:lineRule="auto"/>
        <w:rPr>
          <w:rFonts w:ascii="Calibri" w:eastAsia="Aptos" w:hAnsi="Calibri" w:cs="Calibri"/>
        </w:rPr>
      </w:pPr>
      <w:r w:rsidRPr="00372C6B">
        <w:rPr>
          <w:rFonts w:ascii="Calibri" w:eastAsia="Aptos" w:hAnsi="Calibri" w:cs="Calibri"/>
        </w:rPr>
        <w:t xml:space="preserve">The speed of the collapse </w:t>
      </w:r>
      <w:r w:rsidR="007169E2" w:rsidRPr="00372C6B">
        <w:rPr>
          <w:rFonts w:ascii="Calibri" w:eastAsia="Aptos" w:hAnsi="Calibri" w:cs="Calibri"/>
          <w:highlight w:val="cyan"/>
        </w:rPr>
        <w:t>(36 seconds)</w:t>
      </w:r>
      <w:r w:rsidR="007169E2" w:rsidRPr="00372C6B">
        <w:rPr>
          <w:rFonts w:ascii="Calibri" w:eastAsia="Aptos" w:hAnsi="Calibri" w:cs="Calibri"/>
        </w:rPr>
        <w:t xml:space="preserve"> </w:t>
      </w:r>
      <w:r w:rsidRPr="00372C6B">
        <w:rPr>
          <w:rFonts w:ascii="Calibri" w:eastAsia="Aptos" w:hAnsi="Calibri" w:cs="Calibri"/>
        </w:rPr>
        <w:t xml:space="preserve">seen July 2 was not observed in this region and was not anticipated in studies. </w:t>
      </w:r>
    </w:p>
    <w:p w14:paraId="18BBF3AF" w14:textId="490C4374" w:rsidR="00646BB8" w:rsidRPr="00372C6B" w:rsidRDefault="00646BB8" w:rsidP="00646BB8">
      <w:pPr>
        <w:spacing w:line="276" w:lineRule="auto"/>
        <w:rPr>
          <w:rFonts w:ascii="Calibri" w:eastAsia="Aptos" w:hAnsi="Calibri" w:cs="Calibri"/>
          <w:u w:val="single"/>
        </w:rPr>
      </w:pPr>
      <w:r w:rsidRPr="00372C6B">
        <w:rPr>
          <w:rFonts w:ascii="Calibri" w:eastAsia="Aptos" w:hAnsi="Calibri" w:cs="Calibri"/>
          <w:u w:val="single"/>
        </w:rPr>
        <w:t>Recommendations from the event:</w:t>
      </w:r>
    </w:p>
    <w:p w14:paraId="1510A52E" w14:textId="77777777" w:rsidR="00646BB8" w:rsidRPr="00372C6B" w:rsidRDefault="00646BB8" w:rsidP="00646BB8">
      <w:pPr>
        <w:spacing w:line="276" w:lineRule="auto"/>
        <w:rPr>
          <w:rFonts w:ascii="Calibri" w:eastAsia="Aptos" w:hAnsi="Calibri" w:cs="Calibri"/>
        </w:rPr>
      </w:pPr>
      <w:r w:rsidRPr="00372C6B">
        <w:rPr>
          <w:rFonts w:ascii="Calibri" w:eastAsia="Aptos" w:hAnsi="Calibri" w:cs="Calibri"/>
        </w:rPr>
        <w:t>This disturbance affected a wide geographic area and highlights the need for an improved security monitoring process within the Western Interconnection to monitor real-time operating conditions on a broader scale than is currently accomplished by individual control areas.</w:t>
      </w:r>
    </w:p>
    <w:p w14:paraId="3F563484" w14:textId="3A9D8BE2" w:rsidR="001A0683" w:rsidRPr="00372C6B" w:rsidRDefault="00646BB8" w:rsidP="00646BB8">
      <w:pPr>
        <w:spacing w:line="276" w:lineRule="auto"/>
        <w:rPr>
          <w:rFonts w:ascii="Calibri" w:eastAsia="Aptos" w:hAnsi="Calibri" w:cs="Calibri"/>
        </w:rPr>
      </w:pPr>
      <w:r w:rsidRPr="00372C6B">
        <w:rPr>
          <w:rFonts w:ascii="Calibri" w:eastAsia="Aptos" w:hAnsi="Calibri" w:cs="Calibri"/>
        </w:rPr>
        <w:t>WSCC’s Security Process Task Force shall review what is required to implement a security monitoring process in the Western Interconnection, to monitor operating conditions on a regional scale and promote interconnected system reliability.</w:t>
      </w:r>
    </w:p>
    <w:p w14:paraId="7755218E" w14:textId="77777777" w:rsidR="001A0683" w:rsidRPr="00372C6B" w:rsidRDefault="001A0683" w:rsidP="008C08FE">
      <w:pPr>
        <w:spacing w:line="276" w:lineRule="auto"/>
        <w:rPr>
          <w:rFonts w:ascii="Calibri" w:eastAsia="Aptos" w:hAnsi="Calibri" w:cs="Calibri"/>
        </w:rPr>
      </w:pPr>
    </w:p>
    <w:p w14:paraId="751E4270" w14:textId="68C22F9D" w:rsidR="00BC315C" w:rsidRDefault="003A1AA3" w:rsidP="006C0521">
      <w:pPr>
        <w:pStyle w:val="Heading3"/>
        <w:rPr>
          <w:rFonts w:cstheme="minorBidi"/>
        </w:rPr>
      </w:pPr>
      <w:r>
        <w:rPr>
          <w:rFonts w:ascii="Calibri" w:hAnsi="Calibri" w:cs="Calibri"/>
        </w:rPr>
        <w:t>7</w:t>
      </w:r>
      <w:r w:rsidR="006C0521" w:rsidRPr="006C0521">
        <w:rPr>
          <w:rFonts w:ascii="Calibri" w:hAnsi="Calibri" w:cs="Calibri"/>
        </w:rPr>
        <w:t>.1.5  New York City Blackout – July 13, 1977</w:t>
      </w:r>
    </w:p>
    <w:p w14:paraId="629C198B" w14:textId="38B0F60F" w:rsidR="00242074" w:rsidRPr="00372C6B" w:rsidRDefault="0054429E" w:rsidP="006803B2">
      <w:pPr>
        <w:spacing w:before="240" w:line="276" w:lineRule="auto"/>
        <w:rPr>
          <w:rFonts w:ascii="Calibri" w:eastAsia="Aptos" w:hAnsi="Calibri" w:cs="Calibri"/>
          <w:b/>
          <w:bCs/>
        </w:rPr>
      </w:pPr>
      <w:r w:rsidRPr="00372C6B">
        <w:rPr>
          <w:rFonts w:ascii="Calibri" w:eastAsia="Aptos" w:hAnsi="Calibri" w:cs="Calibri"/>
          <w:b/>
          <w:bCs/>
        </w:rPr>
        <w:t>Event</w:t>
      </w:r>
      <w:r w:rsidR="00242074" w:rsidRPr="00372C6B">
        <w:rPr>
          <w:rFonts w:ascii="Calibri" w:eastAsia="Aptos" w:hAnsi="Calibri" w:cs="Calibri"/>
          <w:b/>
          <w:bCs/>
        </w:rPr>
        <w:t xml:space="preserve"> Type</w:t>
      </w:r>
    </w:p>
    <w:p w14:paraId="198CD7DE" w14:textId="53F1C40D" w:rsidR="00242074" w:rsidRPr="00372C6B" w:rsidRDefault="00242074" w:rsidP="00242074">
      <w:pPr>
        <w:spacing w:line="276" w:lineRule="auto"/>
        <w:rPr>
          <w:rFonts w:ascii="Calibri" w:eastAsia="Aptos" w:hAnsi="Calibri" w:cs="Calibri"/>
        </w:rPr>
      </w:pPr>
      <w:r w:rsidRPr="00372C6B">
        <w:rPr>
          <w:rFonts w:ascii="Calibri" w:eastAsia="Aptos" w:hAnsi="Calibri" w:cs="Calibri"/>
        </w:rPr>
        <w:t xml:space="preserve">Cascading </w:t>
      </w:r>
      <w:r w:rsidR="003C79EB" w:rsidRPr="00372C6B">
        <w:rPr>
          <w:rFonts w:ascii="Calibri" w:eastAsia="Aptos" w:hAnsi="Calibri" w:cs="Calibri"/>
        </w:rPr>
        <w:t xml:space="preserve">event, consisting of successive tripping of lines and generators, and </w:t>
      </w:r>
      <w:r w:rsidRPr="00372C6B">
        <w:rPr>
          <w:rFonts w:ascii="Calibri" w:eastAsia="Aptos" w:hAnsi="Calibri" w:cs="Calibri"/>
        </w:rPr>
        <w:t>lasting one hour</w:t>
      </w:r>
      <w:r w:rsidR="009005E9" w:rsidRPr="00372C6B">
        <w:rPr>
          <w:rFonts w:ascii="Calibri" w:eastAsia="Aptos" w:hAnsi="Calibri" w:cs="Calibri"/>
        </w:rPr>
        <w:t xml:space="preserve">. The </w:t>
      </w:r>
      <w:r w:rsidR="00CE6E00" w:rsidRPr="00372C6B">
        <w:rPr>
          <w:rFonts w:ascii="Calibri" w:eastAsia="Aptos" w:hAnsi="Calibri" w:cs="Calibri"/>
        </w:rPr>
        <w:t>blackout</w:t>
      </w:r>
      <w:r w:rsidR="009005E9" w:rsidRPr="00372C6B">
        <w:rPr>
          <w:rFonts w:ascii="Calibri" w:eastAsia="Aptos" w:hAnsi="Calibri" w:cs="Calibri"/>
        </w:rPr>
        <w:t xml:space="preserve"> lasted 25 hours</w:t>
      </w:r>
      <w:r w:rsidR="003C79EB" w:rsidRPr="00372C6B">
        <w:rPr>
          <w:rFonts w:ascii="Calibri" w:eastAsia="Aptos" w:hAnsi="Calibri" w:cs="Calibri"/>
        </w:rPr>
        <w:t>, before the power was restored</w:t>
      </w:r>
      <w:r w:rsidR="009005E9" w:rsidRPr="00372C6B">
        <w:rPr>
          <w:rFonts w:ascii="Calibri" w:eastAsia="Aptos" w:hAnsi="Calibri" w:cs="Calibri"/>
        </w:rPr>
        <w:t>.</w:t>
      </w:r>
    </w:p>
    <w:p w14:paraId="4B42287A" w14:textId="5DD3BAD5" w:rsidR="00242074" w:rsidRPr="00372C6B" w:rsidRDefault="00242074" w:rsidP="006803B2">
      <w:pPr>
        <w:spacing w:before="240" w:line="276" w:lineRule="auto"/>
        <w:rPr>
          <w:rFonts w:ascii="Calibri" w:eastAsia="Aptos" w:hAnsi="Calibri" w:cs="Calibri"/>
          <w:b/>
          <w:bCs/>
        </w:rPr>
      </w:pPr>
      <w:r w:rsidRPr="00372C6B">
        <w:rPr>
          <w:rFonts w:ascii="Calibri" w:eastAsia="Aptos" w:hAnsi="Calibri" w:cs="Calibri"/>
          <w:b/>
          <w:bCs/>
        </w:rPr>
        <w:t xml:space="preserve">Brief </w:t>
      </w:r>
      <w:r w:rsidR="0054429E" w:rsidRPr="00372C6B">
        <w:rPr>
          <w:rFonts w:ascii="Calibri" w:eastAsia="Aptos" w:hAnsi="Calibri" w:cs="Calibri"/>
          <w:b/>
          <w:bCs/>
        </w:rPr>
        <w:t>Event</w:t>
      </w:r>
      <w:r w:rsidRPr="00372C6B">
        <w:rPr>
          <w:rFonts w:ascii="Calibri" w:eastAsia="Aptos" w:hAnsi="Calibri" w:cs="Calibri"/>
          <w:b/>
          <w:bCs/>
        </w:rPr>
        <w:t xml:space="preserve"> Description</w:t>
      </w:r>
    </w:p>
    <w:p w14:paraId="078FF38E" w14:textId="3C2E1427" w:rsidR="008C08FE" w:rsidRPr="00372C6B" w:rsidRDefault="00242074" w:rsidP="008C08FE">
      <w:pPr>
        <w:spacing w:line="276" w:lineRule="auto"/>
        <w:rPr>
          <w:rFonts w:ascii="Calibri" w:eastAsia="Aptos" w:hAnsi="Calibri" w:cs="Calibri"/>
        </w:rPr>
      </w:pPr>
      <w:r w:rsidRPr="00372C6B">
        <w:rPr>
          <w:rFonts w:ascii="Calibri" w:eastAsia="Aptos" w:hAnsi="Calibri" w:cs="Calibri"/>
        </w:rPr>
        <w:t xml:space="preserve">Multiple lightning strikes hitting transmission facilities, followed by successive tripping of lines and generators. </w:t>
      </w:r>
      <w:r w:rsidR="000A307D" w:rsidRPr="00372C6B">
        <w:rPr>
          <w:rFonts w:ascii="Calibri" w:eastAsia="Aptos" w:hAnsi="Calibri" w:cs="Calibri"/>
        </w:rPr>
        <w:t xml:space="preserve">The event resulted in separation of the Con Edison system from neighboring systems. Unlike Northeast blackouts in 1965 and 2003, during New York blackout extensive looting  and arson occurred (1,809 incidents), </w:t>
      </w:r>
      <w:r w:rsidR="006620BE" w:rsidRPr="00372C6B">
        <w:rPr>
          <w:rFonts w:ascii="Calibri" w:eastAsia="Aptos" w:hAnsi="Calibri" w:cs="Calibri"/>
        </w:rPr>
        <w:t>and over 2,900</w:t>
      </w:r>
      <w:r w:rsidR="000A307D" w:rsidRPr="00372C6B">
        <w:rPr>
          <w:rFonts w:ascii="Calibri" w:eastAsia="Aptos" w:hAnsi="Calibri" w:cs="Calibri"/>
        </w:rPr>
        <w:t xml:space="preserve"> arrests were made</w:t>
      </w:r>
      <w:r w:rsidR="006620BE" w:rsidRPr="00372C6B">
        <w:rPr>
          <w:rFonts w:ascii="Calibri" w:eastAsia="Aptos" w:hAnsi="Calibri" w:cs="Calibri"/>
        </w:rPr>
        <w:t>.</w:t>
      </w:r>
    </w:p>
    <w:p w14:paraId="33A93E1A" w14:textId="1AFDCE5C" w:rsidR="00242074" w:rsidRPr="00372C6B" w:rsidRDefault="00242074" w:rsidP="006803B2">
      <w:pPr>
        <w:spacing w:before="240" w:line="276" w:lineRule="auto"/>
        <w:rPr>
          <w:rFonts w:ascii="Calibri" w:eastAsia="Aptos" w:hAnsi="Calibri" w:cs="Calibri"/>
          <w:b/>
          <w:bCs/>
        </w:rPr>
      </w:pPr>
      <w:r w:rsidRPr="00372C6B">
        <w:rPr>
          <w:rFonts w:ascii="Calibri" w:eastAsia="Aptos" w:hAnsi="Calibri" w:cs="Calibri"/>
          <w:b/>
          <w:bCs/>
        </w:rPr>
        <w:t>Consequences</w:t>
      </w:r>
    </w:p>
    <w:p w14:paraId="0B9728D8" w14:textId="27765AC7" w:rsidR="00242074" w:rsidRPr="00372C6B" w:rsidRDefault="00242074" w:rsidP="00242074">
      <w:pPr>
        <w:spacing w:line="276" w:lineRule="auto"/>
        <w:rPr>
          <w:rFonts w:ascii="Calibri" w:eastAsia="Aptos" w:hAnsi="Calibri" w:cs="Calibri"/>
        </w:rPr>
      </w:pPr>
      <w:r w:rsidRPr="00372C6B">
        <w:rPr>
          <w:rFonts w:ascii="Calibri" w:eastAsia="Aptos" w:hAnsi="Calibri" w:cs="Calibri"/>
        </w:rPr>
        <w:t>9 million people in New York City were affected. 6,000 MW were lost.</w:t>
      </w:r>
    </w:p>
    <w:p w14:paraId="514DD754" w14:textId="77777777" w:rsidR="000A307D" w:rsidRPr="00372C6B" w:rsidRDefault="000A307D" w:rsidP="006803B2">
      <w:pPr>
        <w:spacing w:before="240" w:line="276" w:lineRule="auto"/>
        <w:rPr>
          <w:rFonts w:ascii="Calibri" w:eastAsia="Aptos" w:hAnsi="Calibri" w:cs="Calibri"/>
          <w:b/>
          <w:bCs/>
        </w:rPr>
      </w:pPr>
      <w:r w:rsidRPr="00372C6B">
        <w:rPr>
          <w:rFonts w:ascii="Calibri" w:eastAsia="Aptos" w:hAnsi="Calibri" w:cs="Calibri"/>
          <w:b/>
          <w:bCs/>
        </w:rPr>
        <w:lastRenderedPageBreak/>
        <w:t>Conclusions and Recommendations</w:t>
      </w:r>
    </w:p>
    <w:p w14:paraId="775B6DC1" w14:textId="1AD5C0C2" w:rsidR="000A307D" w:rsidRPr="00372C6B" w:rsidRDefault="00BF7895" w:rsidP="00242074">
      <w:pPr>
        <w:spacing w:line="276" w:lineRule="auto"/>
        <w:rPr>
          <w:rFonts w:ascii="Calibri" w:eastAsia="Aptos" w:hAnsi="Calibri" w:cs="Calibri"/>
        </w:rPr>
      </w:pPr>
      <w:r w:rsidRPr="00372C6B">
        <w:rPr>
          <w:rFonts w:ascii="Calibri" w:eastAsia="Aptos" w:hAnsi="Calibri" w:cs="Calibri"/>
        </w:rPr>
        <w:t>It was concluded that though lightning strikes triggered the cascading event, equipment failures, inadequate system design, protection-system issues, and operator response, and inadequate preparation for severe contingencies contributed to the progression and extent of the event.</w:t>
      </w:r>
    </w:p>
    <w:p w14:paraId="332C66BA" w14:textId="475F3ED6" w:rsidR="00BE3F6F" w:rsidRPr="00372C6B" w:rsidRDefault="00BE3F6F" w:rsidP="00242074">
      <w:pPr>
        <w:spacing w:line="276" w:lineRule="auto"/>
        <w:rPr>
          <w:rFonts w:ascii="Calibri" w:eastAsia="Aptos" w:hAnsi="Calibri" w:cs="Calibri"/>
        </w:rPr>
      </w:pPr>
      <w:r w:rsidRPr="00372C6B">
        <w:rPr>
          <w:rFonts w:ascii="Calibri" w:eastAsia="Aptos" w:hAnsi="Calibri" w:cs="Calibri"/>
        </w:rPr>
        <w:t>Recommendations included</w:t>
      </w:r>
      <w:r w:rsidR="00D2213E" w:rsidRPr="00372C6B">
        <w:rPr>
          <w:rFonts w:ascii="Calibri" w:eastAsia="Aptos" w:hAnsi="Calibri" w:cs="Calibri"/>
        </w:rPr>
        <w:t xml:space="preserve"> substantial improvements in operating procedures, maintenance practices, operator training, and restoration practices.</w:t>
      </w:r>
    </w:p>
    <w:p w14:paraId="07D3D4B4" w14:textId="3197477F" w:rsidR="00D2213E" w:rsidRPr="00372C6B" w:rsidRDefault="000324F0" w:rsidP="00242074">
      <w:pPr>
        <w:spacing w:line="276" w:lineRule="auto"/>
        <w:rPr>
          <w:rFonts w:ascii="Calibri" w:eastAsia="Aptos" w:hAnsi="Calibri" w:cs="Calibri"/>
        </w:rPr>
      </w:pPr>
      <w:r w:rsidRPr="00372C6B">
        <w:rPr>
          <w:rFonts w:ascii="Calibri" w:eastAsia="Aptos" w:hAnsi="Calibri" w:cs="Calibri"/>
        </w:rPr>
        <w:t>The New York City blackout led to the first limited reliability provision in federal legislation. The legislation enabled the federal government to propose voluntary standards, an authority never exercised before.</w:t>
      </w:r>
    </w:p>
    <w:p w14:paraId="2D53F3D5" w14:textId="77777777" w:rsidR="000324F0" w:rsidRPr="00372C6B" w:rsidRDefault="000324F0" w:rsidP="00242074">
      <w:pPr>
        <w:spacing w:line="276" w:lineRule="auto"/>
        <w:rPr>
          <w:rFonts w:ascii="Calibri" w:eastAsia="Aptos" w:hAnsi="Calibri" w:cs="Calibri"/>
        </w:rPr>
      </w:pPr>
    </w:p>
    <w:p w14:paraId="4F4A764B" w14:textId="0FEE1A96" w:rsidR="00BC315C" w:rsidRDefault="003A1AA3" w:rsidP="00A63E47">
      <w:pPr>
        <w:pStyle w:val="Heading3"/>
        <w:rPr>
          <w:rFonts w:cstheme="minorBidi"/>
        </w:rPr>
      </w:pPr>
      <w:r>
        <w:rPr>
          <w:rFonts w:ascii="Calibri" w:hAnsi="Calibri" w:cs="Calibri"/>
        </w:rPr>
        <w:t>7</w:t>
      </w:r>
      <w:r w:rsidR="00A63E47" w:rsidRPr="00A63E47">
        <w:rPr>
          <w:rFonts w:ascii="Calibri" w:hAnsi="Calibri" w:cs="Calibri"/>
        </w:rPr>
        <w:t>.1.6  Northeast Blackout – November 9, 1965</w:t>
      </w:r>
    </w:p>
    <w:p w14:paraId="7D404C5D" w14:textId="6308BB49" w:rsidR="00665F69" w:rsidRPr="00372C6B" w:rsidRDefault="0054429E" w:rsidP="006803B2">
      <w:pPr>
        <w:spacing w:before="240" w:line="276" w:lineRule="auto"/>
        <w:rPr>
          <w:rFonts w:ascii="Calibri" w:eastAsia="Aptos" w:hAnsi="Calibri" w:cs="Calibri"/>
          <w:b/>
          <w:bCs/>
        </w:rPr>
      </w:pPr>
      <w:r w:rsidRPr="00372C6B">
        <w:rPr>
          <w:rFonts w:ascii="Calibri" w:eastAsia="Aptos" w:hAnsi="Calibri" w:cs="Calibri"/>
          <w:b/>
          <w:bCs/>
        </w:rPr>
        <w:t>Event</w:t>
      </w:r>
      <w:r w:rsidR="00665F69" w:rsidRPr="00372C6B">
        <w:rPr>
          <w:rFonts w:ascii="Calibri" w:eastAsia="Aptos" w:hAnsi="Calibri" w:cs="Calibri"/>
          <w:b/>
          <w:bCs/>
        </w:rPr>
        <w:t xml:space="preserve"> Type</w:t>
      </w:r>
    </w:p>
    <w:p w14:paraId="26BE8D6A" w14:textId="2F368C1E" w:rsidR="00665F69" w:rsidRPr="00372C6B" w:rsidRDefault="003C79EB" w:rsidP="00665F69">
      <w:pPr>
        <w:spacing w:line="276" w:lineRule="auto"/>
        <w:rPr>
          <w:rFonts w:ascii="Calibri" w:eastAsia="Aptos" w:hAnsi="Calibri" w:cs="Calibri"/>
        </w:rPr>
      </w:pPr>
      <w:r w:rsidRPr="00372C6B">
        <w:rPr>
          <w:rFonts w:ascii="Calibri" w:eastAsia="Aptos" w:hAnsi="Calibri" w:cs="Calibri"/>
        </w:rPr>
        <w:t>Cascading event, consisting of successive tripping of lines</w:t>
      </w:r>
      <w:r w:rsidR="009E6E51" w:rsidRPr="00372C6B">
        <w:rPr>
          <w:rFonts w:ascii="Calibri" w:eastAsia="Aptos" w:hAnsi="Calibri" w:cs="Calibri"/>
        </w:rPr>
        <w:t>, caused by a relay trip</w:t>
      </w:r>
      <w:r w:rsidR="00CE6E00" w:rsidRPr="00372C6B">
        <w:rPr>
          <w:rFonts w:ascii="Calibri" w:eastAsia="Aptos" w:hAnsi="Calibri" w:cs="Calibri"/>
        </w:rPr>
        <w:t xml:space="preserve">. Cascade duration was 13 minutes. The blackout lasted </w:t>
      </w:r>
      <w:r w:rsidR="00352DCF" w:rsidRPr="00372C6B">
        <w:rPr>
          <w:rFonts w:ascii="Calibri" w:eastAsia="Aptos" w:hAnsi="Calibri" w:cs="Calibri"/>
        </w:rPr>
        <w:t xml:space="preserve">for about </w:t>
      </w:r>
      <w:r w:rsidR="00CE6E00" w:rsidRPr="00372C6B">
        <w:rPr>
          <w:rFonts w:ascii="Calibri" w:eastAsia="Aptos" w:hAnsi="Calibri" w:cs="Calibri"/>
        </w:rPr>
        <w:t>14 hours, before the power was restored.</w:t>
      </w:r>
    </w:p>
    <w:p w14:paraId="7743D846" w14:textId="390E51C2" w:rsidR="00665F69" w:rsidRPr="00372C6B" w:rsidRDefault="00665F69" w:rsidP="006803B2">
      <w:pPr>
        <w:spacing w:before="240" w:line="276" w:lineRule="auto"/>
        <w:rPr>
          <w:rFonts w:ascii="Calibri" w:eastAsia="Aptos" w:hAnsi="Calibri" w:cs="Calibri"/>
          <w:b/>
          <w:bCs/>
        </w:rPr>
      </w:pPr>
      <w:r w:rsidRPr="00372C6B">
        <w:rPr>
          <w:rFonts w:ascii="Calibri" w:eastAsia="Aptos" w:hAnsi="Calibri" w:cs="Calibri"/>
          <w:b/>
          <w:bCs/>
        </w:rPr>
        <w:t xml:space="preserve">Brief </w:t>
      </w:r>
      <w:r w:rsidR="0054429E" w:rsidRPr="00372C6B">
        <w:rPr>
          <w:rFonts w:ascii="Calibri" w:eastAsia="Aptos" w:hAnsi="Calibri" w:cs="Calibri"/>
          <w:b/>
          <w:bCs/>
        </w:rPr>
        <w:t>Event</w:t>
      </w:r>
      <w:r w:rsidRPr="00372C6B">
        <w:rPr>
          <w:rFonts w:ascii="Calibri" w:eastAsia="Aptos" w:hAnsi="Calibri" w:cs="Calibri"/>
          <w:b/>
          <w:bCs/>
        </w:rPr>
        <w:t xml:space="preserve"> Description</w:t>
      </w:r>
    </w:p>
    <w:p w14:paraId="00CCDB30" w14:textId="245B8DDB" w:rsidR="00665F69" w:rsidRPr="00372C6B" w:rsidRDefault="00352DCF" w:rsidP="00352DCF">
      <w:pPr>
        <w:spacing w:line="276" w:lineRule="auto"/>
        <w:rPr>
          <w:rFonts w:ascii="Calibri" w:eastAsia="Aptos" w:hAnsi="Calibri" w:cs="Calibri"/>
        </w:rPr>
      </w:pPr>
      <w:r w:rsidRPr="00372C6B">
        <w:rPr>
          <w:rFonts w:ascii="Calibri" w:eastAsia="Aptos" w:hAnsi="Calibri" w:cs="Calibri"/>
        </w:rPr>
        <w:t>A backup protective relay operated to open one of five 230-kV lines taking power north from a generating plant in Ontario to the Toronto area. When the flows redistributed instantaneously on the remaining four lines, they tripped out successively in a total of 2.5 seconds. The resultant power swings resulted in a cascading outage that blacked out much of the Northeast, [FERC].</w:t>
      </w:r>
    </w:p>
    <w:p w14:paraId="4E016753" w14:textId="77777777" w:rsidR="00665F69" w:rsidRPr="00372C6B" w:rsidRDefault="00665F69" w:rsidP="006803B2">
      <w:pPr>
        <w:spacing w:before="240" w:line="276" w:lineRule="auto"/>
        <w:rPr>
          <w:rFonts w:ascii="Calibri" w:eastAsia="Aptos" w:hAnsi="Calibri" w:cs="Calibri"/>
          <w:b/>
          <w:bCs/>
        </w:rPr>
      </w:pPr>
      <w:r w:rsidRPr="00372C6B">
        <w:rPr>
          <w:rFonts w:ascii="Calibri" w:eastAsia="Aptos" w:hAnsi="Calibri" w:cs="Calibri"/>
          <w:b/>
          <w:bCs/>
        </w:rPr>
        <w:t>Consequences</w:t>
      </w:r>
    </w:p>
    <w:p w14:paraId="26E5BF69" w14:textId="33F916F7" w:rsidR="00665F69" w:rsidRPr="00372C6B" w:rsidRDefault="00807827" w:rsidP="00665F69">
      <w:pPr>
        <w:spacing w:line="276" w:lineRule="auto"/>
        <w:rPr>
          <w:rFonts w:ascii="Calibri" w:eastAsia="Aptos" w:hAnsi="Calibri" w:cs="Calibri"/>
        </w:rPr>
      </w:pPr>
      <w:r w:rsidRPr="00372C6B">
        <w:rPr>
          <w:rFonts w:ascii="Calibri" w:eastAsia="Aptos" w:hAnsi="Calibri" w:cs="Calibri"/>
        </w:rPr>
        <w:t xml:space="preserve">30,000,000 people in </w:t>
      </w:r>
      <w:r w:rsidR="009342C5" w:rsidRPr="00372C6B">
        <w:rPr>
          <w:rFonts w:ascii="Calibri" w:eastAsia="Aptos" w:hAnsi="Calibri" w:cs="Calibri"/>
        </w:rPr>
        <w:t>northeastern United States and Canada</w:t>
      </w:r>
      <w:r w:rsidRPr="00372C6B">
        <w:rPr>
          <w:rFonts w:ascii="Calibri" w:eastAsia="Aptos" w:hAnsi="Calibri" w:cs="Calibri"/>
        </w:rPr>
        <w:t xml:space="preserve"> were affected. Over 20,000 MW were lost.</w:t>
      </w:r>
      <w:r w:rsidR="0068269C" w:rsidRPr="00372C6B">
        <w:rPr>
          <w:rFonts w:ascii="Calibri" w:eastAsia="Aptos" w:hAnsi="Calibri" w:cs="Calibri"/>
        </w:rPr>
        <w:t xml:space="preserve"> Affected areas were all of New York state, parts of seven Northeast U.S. states: Connecticut, Delaware, Massachusetts, New Hampshire, New Jersey, Pennsylvania, Rhode Island, Vermont, and portions of Ontario and Quebec, Canada.</w:t>
      </w:r>
    </w:p>
    <w:p w14:paraId="56ECDF6F" w14:textId="77777777" w:rsidR="00665F69" w:rsidRPr="00372C6B" w:rsidRDefault="00665F69" w:rsidP="006803B2">
      <w:pPr>
        <w:spacing w:before="240" w:line="276" w:lineRule="auto"/>
        <w:rPr>
          <w:rFonts w:ascii="Calibri" w:eastAsia="Aptos" w:hAnsi="Calibri" w:cs="Calibri"/>
          <w:b/>
          <w:bCs/>
        </w:rPr>
      </w:pPr>
      <w:r w:rsidRPr="00372C6B">
        <w:rPr>
          <w:rFonts w:ascii="Calibri" w:eastAsia="Aptos" w:hAnsi="Calibri" w:cs="Calibri"/>
          <w:b/>
          <w:bCs/>
        </w:rPr>
        <w:t>Conclusions and Recommendations</w:t>
      </w:r>
    </w:p>
    <w:p w14:paraId="0CCA76A9" w14:textId="1DB97CEF" w:rsidR="00F43794" w:rsidRPr="00372C6B" w:rsidRDefault="00063628" w:rsidP="008C08FE">
      <w:pPr>
        <w:spacing w:line="276" w:lineRule="auto"/>
        <w:rPr>
          <w:rFonts w:ascii="Calibri" w:eastAsia="Aptos" w:hAnsi="Calibri" w:cs="Calibri"/>
        </w:rPr>
      </w:pPr>
      <w:r w:rsidRPr="00372C6B">
        <w:rPr>
          <w:rFonts w:ascii="Calibri" w:eastAsia="Aptos" w:hAnsi="Calibri" w:cs="Calibri"/>
        </w:rPr>
        <w:t xml:space="preserve">National Electric Reliability Council (NERC) was established in response to the 1965 blackout and on the recommendation of the Federal Power Commission (now FERC). </w:t>
      </w:r>
      <w:r w:rsidR="00F43794" w:rsidRPr="00372C6B">
        <w:rPr>
          <w:rFonts w:ascii="Calibri" w:eastAsia="Aptos" w:hAnsi="Calibri" w:cs="Calibri"/>
        </w:rPr>
        <w:t>As a result, reliability standards</w:t>
      </w:r>
      <w:r w:rsidRPr="00372C6B">
        <w:rPr>
          <w:rFonts w:ascii="Calibri" w:eastAsia="Aptos" w:hAnsi="Calibri" w:cs="Calibri"/>
        </w:rPr>
        <w:t xml:space="preserve"> were </w:t>
      </w:r>
      <w:r w:rsidR="00CE625D" w:rsidRPr="00372C6B">
        <w:rPr>
          <w:rFonts w:ascii="Calibri" w:eastAsia="Aptos" w:hAnsi="Calibri" w:cs="Calibri"/>
        </w:rPr>
        <w:t>developed</w:t>
      </w:r>
      <w:r w:rsidRPr="00372C6B">
        <w:rPr>
          <w:rFonts w:ascii="Calibri" w:eastAsia="Aptos" w:hAnsi="Calibri" w:cs="Calibri"/>
        </w:rPr>
        <w:t>.</w:t>
      </w:r>
    </w:p>
    <w:p w14:paraId="301298BC" w14:textId="3DC229EA" w:rsidR="00F10827" w:rsidRPr="00372C6B" w:rsidRDefault="00F10827" w:rsidP="008C08FE">
      <w:pPr>
        <w:spacing w:line="276" w:lineRule="auto"/>
        <w:rPr>
          <w:rFonts w:ascii="Calibri" w:eastAsia="Aptos" w:hAnsi="Calibri" w:cs="Calibri"/>
        </w:rPr>
      </w:pPr>
      <w:r w:rsidRPr="00372C6B">
        <w:rPr>
          <w:rFonts w:ascii="Calibri" w:eastAsia="Aptos" w:hAnsi="Calibri" w:cs="Calibri"/>
        </w:rPr>
        <w:lastRenderedPageBreak/>
        <w:t xml:space="preserve">Modern SCADA systems </w:t>
      </w:r>
      <w:r w:rsidR="008040E0" w:rsidRPr="00372C6B">
        <w:rPr>
          <w:rFonts w:ascii="Calibri" w:eastAsia="Aptos" w:hAnsi="Calibri" w:cs="Calibri"/>
        </w:rPr>
        <w:t>became widely adopted by the industry for real-time monitoring of the grid</w:t>
      </w:r>
      <w:r w:rsidRPr="00372C6B">
        <w:rPr>
          <w:rFonts w:ascii="Calibri" w:eastAsia="Aptos" w:hAnsi="Calibri" w:cs="Calibri"/>
        </w:rPr>
        <w:t xml:space="preserve"> after the 1965 Northeast blackout</w:t>
      </w:r>
      <w:r w:rsidR="00A66642" w:rsidRPr="00372C6B">
        <w:rPr>
          <w:rFonts w:ascii="Calibri" w:eastAsia="Aptos" w:hAnsi="Calibri" w:cs="Calibri"/>
        </w:rPr>
        <w:t>.</w:t>
      </w:r>
    </w:p>
    <w:p w14:paraId="0375643E" w14:textId="74BEDDA3" w:rsidR="008C08FE" w:rsidRPr="00372C6B" w:rsidRDefault="008C08FE" w:rsidP="008C08FE">
      <w:pPr>
        <w:spacing w:line="276" w:lineRule="auto"/>
        <w:rPr>
          <w:rFonts w:ascii="Calibri" w:eastAsia="Aptos" w:hAnsi="Calibri" w:cs="Calibri"/>
        </w:rPr>
      </w:pPr>
    </w:p>
    <w:p w14:paraId="23563EE9" w14:textId="640D5942" w:rsidR="008B5C61" w:rsidRPr="003A1AA3" w:rsidRDefault="003A1AA3" w:rsidP="003A1AA3">
      <w:pPr>
        <w:pStyle w:val="Heading2"/>
        <w:numPr>
          <w:ilvl w:val="0"/>
          <w:numId w:val="0"/>
        </w:numPr>
        <w:spacing w:line="276" w:lineRule="auto"/>
        <w:rPr>
          <w:rFonts w:ascii="Calibri" w:eastAsia="Aptos Display" w:hAnsi="Calibri" w:cs="Calibri"/>
        </w:rPr>
      </w:pPr>
      <w:r>
        <w:rPr>
          <w:rFonts w:ascii="Calibri" w:eastAsia="Aptos Display" w:hAnsi="Calibri" w:cs="Calibri"/>
        </w:rPr>
        <w:t>7</w:t>
      </w:r>
      <w:r w:rsidR="004A0CF2" w:rsidRPr="003A1AA3">
        <w:rPr>
          <w:rFonts w:ascii="Calibri" w:eastAsia="Aptos Display" w:hAnsi="Calibri" w:cs="Calibri"/>
        </w:rPr>
        <w:t xml:space="preserve">.2         </w:t>
      </w:r>
      <w:r w:rsidR="00BC315C" w:rsidRPr="003A1AA3">
        <w:rPr>
          <w:rFonts w:ascii="Calibri" w:eastAsia="Aptos Display" w:hAnsi="Calibri" w:cs="Calibri"/>
        </w:rPr>
        <w:t>Significant Recent Disturbances in North America</w:t>
      </w:r>
    </w:p>
    <w:p w14:paraId="14A3F863" w14:textId="3345A954" w:rsidR="008C08FE" w:rsidRPr="00372C6B" w:rsidRDefault="008C08FE" w:rsidP="008C08FE">
      <w:pPr>
        <w:spacing w:line="276" w:lineRule="auto"/>
        <w:rPr>
          <w:rFonts w:ascii="Calibri" w:eastAsia="Aptos" w:hAnsi="Calibri" w:cs="Calibri"/>
        </w:rPr>
      </w:pPr>
      <w:r w:rsidRPr="00372C6B">
        <w:rPr>
          <w:rFonts w:ascii="Calibri" w:eastAsia="Aptos" w:hAnsi="Calibri" w:cs="Calibri"/>
        </w:rPr>
        <w:t xml:space="preserve"> </w:t>
      </w:r>
    </w:p>
    <w:p w14:paraId="00F7C918" w14:textId="277AF63F" w:rsidR="00BC315C" w:rsidRDefault="003A1AA3" w:rsidP="007E6B03">
      <w:pPr>
        <w:pStyle w:val="Heading3"/>
        <w:rPr>
          <w:rFonts w:cstheme="minorBidi"/>
        </w:rPr>
      </w:pPr>
      <w:r>
        <w:rPr>
          <w:rFonts w:ascii="Calibri" w:hAnsi="Calibri" w:cs="Calibri"/>
        </w:rPr>
        <w:t>7</w:t>
      </w:r>
      <w:r w:rsidR="007E6B03" w:rsidRPr="007E6B03">
        <w:rPr>
          <w:rFonts w:ascii="Calibri" w:hAnsi="Calibri" w:cs="Calibri"/>
        </w:rPr>
        <w:t xml:space="preserve">.2.1  Wyoming Disturbance – November 13, 2025 </w:t>
      </w:r>
    </w:p>
    <w:p w14:paraId="7ABAD07F" w14:textId="009CBC22" w:rsidR="00A63391" w:rsidRPr="00372C6B" w:rsidRDefault="0054429E" w:rsidP="00A63391">
      <w:pPr>
        <w:spacing w:before="240" w:line="276" w:lineRule="auto"/>
        <w:rPr>
          <w:rFonts w:ascii="Calibri" w:eastAsia="Aptos" w:hAnsi="Calibri" w:cs="Calibri"/>
          <w:b/>
          <w:bCs/>
        </w:rPr>
      </w:pPr>
      <w:r w:rsidRPr="00372C6B">
        <w:rPr>
          <w:rFonts w:ascii="Calibri" w:eastAsia="Aptos" w:hAnsi="Calibri" w:cs="Calibri"/>
          <w:b/>
          <w:bCs/>
        </w:rPr>
        <w:t>Event</w:t>
      </w:r>
      <w:r w:rsidR="00A63391" w:rsidRPr="00372C6B">
        <w:rPr>
          <w:rFonts w:ascii="Calibri" w:eastAsia="Aptos" w:hAnsi="Calibri" w:cs="Calibri"/>
          <w:b/>
          <w:bCs/>
        </w:rPr>
        <w:t xml:space="preserve"> Description</w:t>
      </w:r>
    </w:p>
    <w:p w14:paraId="55E576BD" w14:textId="0CF653D2" w:rsidR="008C08FE" w:rsidRPr="00372C6B" w:rsidRDefault="00A63391" w:rsidP="00305443">
      <w:pPr>
        <w:spacing w:line="276" w:lineRule="auto"/>
        <w:rPr>
          <w:rFonts w:ascii="Calibri" w:hAnsi="Calibri" w:cs="Calibri"/>
        </w:rPr>
      </w:pPr>
      <w:r w:rsidRPr="00372C6B">
        <w:rPr>
          <w:rFonts w:ascii="Calibri" w:eastAsia="Aptos" w:hAnsi="Calibri" w:cs="Calibri"/>
        </w:rPr>
        <w:t>On November 13, 2025, a planned outage of the PacifiCorp East (PACE) Aeolus–Clover 500 kV transmission line triggered a cascading disturbance in the northeastern Western Interconnection.</w:t>
      </w:r>
      <w:r w:rsidRPr="00372C6B">
        <w:rPr>
          <w:rFonts w:ascii="Calibri" w:hAnsi="Calibri" w:cs="Calibri"/>
        </w:rPr>
        <w:t xml:space="preserve"> </w:t>
      </w:r>
      <w:r w:rsidRPr="00372C6B">
        <w:rPr>
          <w:rFonts w:ascii="Calibri" w:eastAsia="Aptos" w:hAnsi="Calibri" w:cs="Calibri"/>
        </w:rPr>
        <w:t xml:space="preserve">This line, along with the Aeolus–Anticline 500 kV line, transfers large amounts of wind and thermal generation in this region to load centers across the interconnection. </w:t>
      </w:r>
      <w:r w:rsidR="00305443" w:rsidRPr="00372C6B">
        <w:rPr>
          <w:rFonts w:ascii="Calibri" w:hAnsi="Calibri" w:cs="Calibri"/>
        </w:rPr>
        <w:t>Before the planned outage of the Aeolus–Clover transmission line, there were eight other 230 kV transmission lines already out of service in the area for planned outages.</w:t>
      </w:r>
      <w:r w:rsidR="0050129B" w:rsidRPr="00372C6B">
        <w:rPr>
          <w:rFonts w:ascii="Calibri" w:eastAsia="Aptos" w:hAnsi="Calibri" w:cs="Calibri"/>
        </w:rPr>
        <w:t xml:space="preserve"> </w:t>
      </w:r>
      <w:r w:rsidRPr="00372C6B">
        <w:rPr>
          <w:rFonts w:ascii="Calibri" w:eastAsia="Aptos" w:hAnsi="Calibri" w:cs="Calibri"/>
        </w:rPr>
        <w:t>Prior to the outage, wind generation increased, which increased the amount of energy flowing across the two Aeolus 500 kV lines.</w:t>
      </w:r>
      <w:r w:rsidR="007C64E8" w:rsidRPr="00372C6B">
        <w:rPr>
          <w:rFonts w:ascii="Calibri" w:eastAsia="Aptos" w:hAnsi="Calibri" w:cs="Calibri"/>
        </w:rPr>
        <w:t xml:space="preserve"> </w:t>
      </w:r>
      <w:r w:rsidRPr="00372C6B">
        <w:rPr>
          <w:rFonts w:ascii="Calibri" w:eastAsia="Aptos" w:hAnsi="Calibri" w:cs="Calibri"/>
        </w:rPr>
        <w:t>PACE, adhering to its operating practices, modified the Aeolus RAS by raising the arming setpoint to ensure the RAS would not inadvertently operate during switching.</w:t>
      </w:r>
      <w:r w:rsidR="007C64E8" w:rsidRPr="00372C6B">
        <w:rPr>
          <w:rFonts w:ascii="Calibri" w:hAnsi="Calibri" w:cs="Calibri"/>
        </w:rPr>
        <w:t xml:space="preserve"> </w:t>
      </w:r>
      <w:r w:rsidR="000C0824" w:rsidRPr="00372C6B">
        <w:rPr>
          <w:rFonts w:ascii="Calibri" w:hAnsi="Calibri" w:cs="Calibri"/>
        </w:rPr>
        <w:t xml:space="preserve">Deficiencies in </w:t>
      </w:r>
      <w:r w:rsidR="00D84593" w:rsidRPr="00372C6B">
        <w:rPr>
          <w:rFonts w:ascii="Calibri" w:hAnsi="Calibri" w:cs="Calibri"/>
        </w:rPr>
        <w:t xml:space="preserve">configuration and alarming in </w:t>
      </w:r>
      <w:r w:rsidR="000C0824" w:rsidRPr="00372C6B">
        <w:rPr>
          <w:rFonts w:ascii="Calibri" w:hAnsi="Calibri" w:cs="Calibri"/>
        </w:rPr>
        <w:t>real-time contingency analysis (RTCA) prevented operators from recognizing that the system had become N-1 insecure.</w:t>
      </w:r>
    </w:p>
    <w:p w14:paraId="051379D8" w14:textId="3AE2561E" w:rsidR="00865262" w:rsidRDefault="001C28E1" w:rsidP="001C28E1">
      <w:pPr>
        <w:spacing w:line="276" w:lineRule="auto"/>
        <w:rPr>
          <w:rFonts w:ascii="Calibri" w:eastAsia="Aptos" w:hAnsi="Calibri" w:cs="Calibri"/>
        </w:rPr>
      </w:pPr>
      <w:r w:rsidRPr="00372C6B">
        <w:rPr>
          <w:rFonts w:ascii="Calibri" w:eastAsia="Aptos" w:hAnsi="Calibri" w:cs="Calibri"/>
        </w:rPr>
        <w:t>Immediately after Aeolus–Clover line was removed from service, the Aeolus 500 kV bus voltage started to decline r</w:t>
      </w:r>
      <w:r w:rsidRPr="00865262">
        <w:rPr>
          <w:rFonts w:ascii="Calibri" w:eastAsia="Aptos" w:hAnsi="Calibri" w:cs="Calibri"/>
        </w:rPr>
        <w:t>apidly (</w:t>
      </w:r>
      <w:r w:rsidR="0022122B" w:rsidRPr="00865262">
        <w:rPr>
          <w:rFonts w:ascii="Calibri" w:eastAsia="Aptos" w:hAnsi="Calibri" w:cs="Calibri"/>
        </w:rPr>
        <w:t>s</w:t>
      </w:r>
      <w:r w:rsidRPr="00865262">
        <w:rPr>
          <w:rFonts w:ascii="Calibri" w:eastAsia="Aptos" w:hAnsi="Calibri" w:cs="Calibri"/>
        </w:rPr>
        <w:t xml:space="preserve">ee </w:t>
      </w:r>
      <w:r w:rsidR="00865262" w:rsidRPr="00865262">
        <w:rPr>
          <w:rFonts w:ascii="Calibri" w:eastAsia="Aptos" w:hAnsi="Calibri" w:cs="Calibri"/>
        </w:rPr>
        <w:fldChar w:fldCharType="begin"/>
      </w:r>
      <w:r w:rsidR="00865262" w:rsidRPr="00865262">
        <w:rPr>
          <w:rFonts w:ascii="Calibri" w:eastAsia="Aptos" w:hAnsi="Calibri" w:cs="Calibri"/>
        </w:rPr>
        <w:instrText xml:space="preserve"> REF _Ref234704243 \h </w:instrText>
      </w:r>
      <w:r w:rsidR="00865262">
        <w:rPr>
          <w:rFonts w:ascii="Calibri" w:eastAsia="Aptos" w:hAnsi="Calibri" w:cs="Calibri"/>
        </w:rPr>
        <w:instrText xml:space="preserve"> \* MERGEFORMAT </w:instrText>
      </w:r>
      <w:r w:rsidR="00865262" w:rsidRPr="00865262">
        <w:rPr>
          <w:rFonts w:ascii="Calibri" w:eastAsia="Aptos" w:hAnsi="Calibri" w:cs="Calibri"/>
        </w:rPr>
      </w:r>
      <w:r w:rsidR="00865262" w:rsidRPr="00865262">
        <w:rPr>
          <w:rFonts w:ascii="Calibri" w:eastAsia="Aptos" w:hAnsi="Calibri" w:cs="Calibri"/>
        </w:rPr>
        <w:fldChar w:fldCharType="separate"/>
      </w:r>
      <w:r w:rsidR="00865262" w:rsidRPr="00865262">
        <w:t xml:space="preserve">Figure </w:t>
      </w:r>
      <w:r w:rsidR="00865262" w:rsidRPr="00865262">
        <w:rPr>
          <w:noProof/>
        </w:rPr>
        <w:t>1</w:t>
      </w:r>
      <w:r w:rsidR="00865262" w:rsidRPr="00865262">
        <w:rPr>
          <w:rFonts w:ascii="Calibri" w:eastAsia="Aptos" w:hAnsi="Calibri" w:cs="Calibri"/>
        </w:rPr>
        <w:fldChar w:fldCharType="end"/>
      </w:r>
      <w:r w:rsidRPr="00865262">
        <w:rPr>
          <w:rFonts w:ascii="Calibri" w:eastAsia="Aptos" w:hAnsi="Calibri" w:cs="Calibri"/>
        </w:rPr>
        <w:t>), from ~1.0 pu</w:t>
      </w:r>
      <w:r w:rsidRPr="00372C6B">
        <w:rPr>
          <w:rFonts w:ascii="Calibri" w:eastAsia="Aptos" w:hAnsi="Calibri" w:cs="Calibri"/>
        </w:rPr>
        <w:t xml:space="preserve"> to ~0.28 pu in 344 milliseconds. </w:t>
      </w:r>
    </w:p>
    <w:p w14:paraId="513646BF" w14:textId="4B2B0F1D" w:rsidR="00865262" w:rsidRDefault="00865262" w:rsidP="001C28E1">
      <w:pPr>
        <w:spacing w:line="276" w:lineRule="auto"/>
        <w:rPr>
          <w:rFonts w:ascii="Calibri" w:eastAsia="Aptos" w:hAnsi="Calibri" w:cs="Calibri"/>
        </w:rPr>
      </w:pPr>
      <w:r w:rsidRPr="00324EAA">
        <w:rPr>
          <w:rFonts w:ascii="Times New Roman" w:hAnsi="Times New Roman" w:cs="Times New Roman"/>
          <w:noProof/>
        </w:rPr>
        <w:lastRenderedPageBreak/>
        <w:drawing>
          <wp:inline distT="0" distB="0" distL="0" distR="0" wp14:anchorId="4DEF968A" wp14:editId="7C8419AD">
            <wp:extent cx="5943600" cy="4018280"/>
            <wp:effectExtent l="0" t="0" r="0" b="1270"/>
            <wp:docPr id="83742988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4018280"/>
                    </a:xfrm>
                    <a:prstGeom prst="rect">
                      <a:avLst/>
                    </a:prstGeom>
                    <a:noFill/>
                    <a:ln>
                      <a:noFill/>
                    </a:ln>
                  </pic:spPr>
                </pic:pic>
              </a:graphicData>
            </a:graphic>
          </wp:inline>
        </w:drawing>
      </w:r>
    </w:p>
    <w:p w14:paraId="1DCB8181" w14:textId="45906559" w:rsidR="00865262" w:rsidRDefault="00865262" w:rsidP="00865262">
      <w:pPr>
        <w:pStyle w:val="Caption"/>
        <w:rPr>
          <w:rStyle w:val="normaltextrun"/>
          <w:rFonts w:eastAsiaTheme="majorEastAsia" w:cs="Calibri"/>
          <w:i w:val="0"/>
          <w:iCs w:val="0"/>
          <w:szCs w:val="20"/>
        </w:rPr>
      </w:pPr>
      <w:bookmarkStart w:id="22" w:name="_Ref234704243"/>
      <w:bookmarkStart w:id="23" w:name="_Toc242906000"/>
      <w:bookmarkStart w:id="24" w:name="_Toc242913558"/>
      <w:r>
        <w:t xml:space="preserve">Figure </w:t>
      </w:r>
      <w:r>
        <w:fldChar w:fldCharType="begin"/>
      </w:r>
      <w:r>
        <w:instrText xml:space="preserve"> SEQ Figure \* ARABIC </w:instrText>
      </w:r>
      <w:r>
        <w:fldChar w:fldCharType="separate"/>
      </w:r>
      <w:r>
        <w:rPr>
          <w:noProof/>
        </w:rPr>
        <w:t>1</w:t>
      </w:r>
      <w:r>
        <w:rPr>
          <w:noProof/>
        </w:rPr>
        <w:fldChar w:fldCharType="end"/>
      </w:r>
      <w:bookmarkEnd w:id="22"/>
      <w:r>
        <w:t xml:space="preserve">. </w:t>
      </w:r>
      <w:r w:rsidRPr="00865262">
        <w:t>Aeolus 500 kV Bus Voltage (Orange Marks the Time of Aeolus–Clover Line Opening; Magenta Marks the Time of Aeolus–Anticline Tripping)</w:t>
      </w:r>
      <w:bookmarkEnd w:id="23"/>
      <w:bookmarkEnd w:id="24"/>
    </w:p>
    <w:p w14:paraId="1A512FF5" w14:textId="408BB853" w:rsidR="001C28E1" w:rsidRPr="00372C6B" w:rsidRDefault="001C28E1" w:rsidP="001C28E1">
      <w:pPr>
        <w:spacing w:line="276" w:lineRule="auto"/>
        <w:rPr>
          <w:rFonts w:ascii="Calibri" w:eastAsia="Aptos" w:hAnsi="Calibri" w:cs="Calibri"/>
        </w:rPr>
      </w:pPr>
      <w:r w:rsidRPr="00372C6B">
        <w:rPr>
          <w:rFonts w:ascii="Calibri" w:eastAsia="Aptos" w:hAnsi="Calibri" w:cs="Calibri"/>
        </w:rPr>
        <w:t>The</w:t>
      </w:r>
      <w:r w:rsidR="00865262">
        <w:rPr>
          <w:rFonts w:ascii="Calibri" w:eastAsia="Aptos" w:hAnsi="Calibri" w:cs="Calibri"/>
        </w:rPr>
        <w:t xml:space="preserve"> p</w:t>
      </w:r>
      <w:r w:rsidRPr="00372C6B">
        <w:rPr>
          <w:rFonts w:ascii="Calibri" w:eastAsia="Aptos" w:hAnsi="Calibri" w:cs="Calibri"/>
        </w:rPr>
        <w:t>ower flows shifted to the parallel Aeolus–Anticline 500 kV line, causing a rapid voltage collapse that led to the tripping of the remaining 500 kV line and numerous 230 kV transmission lines within seconds. Within seconds, 13 230 kV transmission lines tripped correctly on Zone 1 due to the extremely low voltage. Tripping of these 13 lines and one 500 kV line resulted in the separation and islanding of northeast Wyoming and southwestern South Dakota from the Western Interconnection within 623 milliseconds after opening the Aeolus–Clover line.</w:t>
      </w:r>
    </w:p>
    <w:p w14:paraId="03E96ED7" w14:textId="77777777" w:rsidR="00EC3583" w:rsidRPr="00372C6B" w:rsidRDefault="00EC3583" w:rsidP="00EC3583">
      <w:pPr>
        <w:spacing w:before="240" w:line="276" w:lineRule="auto"/>
        <w:rPr>
          <w:rFonts w:ascii="Calibri" w:eastAsia="Aptos" w:hAnsi="Calibri" w:cs="Calibri"/>
          <w:b/>
          <w:bCs/>
        </w:rPr>
      </w:pPr>
      <w:r w:rsidRPr="00372C6B">
        <w:rPr>
          <w:rFonts w:ascii="Calibri" w:eastAsia="Aptos" w:hAnsi="Calibri" w:cs="Calibri"/>
          <w:b/>
          <w:bCs/>
        </w:rPr>
        <w:t>Consequences</w:t>
      </w:r>
    </w:p>
    <w:p w14:paraId="687CB846" w14:textId="75771C8C" w:rsidR="00A63391" w:rsidRPr="00372C6B" w:rsidRDefault="00EC3583" w:rsidP="00EC3583">
      <w:pPr>
        <w:spacing w:line="276" w:lineRule="auto"/>
        <w:rPr>
          <w:rFonts w:ascii="Calibri" w:eastAsia="Aptos" w:hAnsi="Calibri" w:cs="Calibri"/>
        </w:rPr>
      </w:pPr>
      <w:r w:rsidRPr="00372C6B">
        <w:rPr>
          <w:rFonts w:ascii="Calibri" w:eastAsia="Aptos" w:hAnsi="Calibri" w:cs="Calibri"/>
        </w:rPr>
        <w:t>As a result of this cascading outage, impacts in PACE, Black Hills Energy (BHE), Tri-State G&amp;T (TSGT), WACM, and Montana–Alberta Tie Line (MATL) included generation, transmission equipment, load, and customer loss. In total, within 6 seconds, 33 BES transmission lines, approximately 1,120 MW load, approximately 4,853 MW of generation, and service to over 250,000 customers were lost.</w:t>
      </w:r>
    </w:p>
    <w:p w14:paraId="13DC2122" w14:textId="0494044A" w:rsidR="00D84593" w:rsidRPr="00372C6B" w:rsidRDefault="00D84593" w:rsidP="00D84593">
      <w:pPr>
        <w:spacing w:before="240" w:line="276" w:lineRule="auto"/>
        <w:rPr>
          <w:rFonts w:ascii="Calibri" w:eastAsia="Aptos" w:hAnsi="Calibri" w:cs="Calibri"/>
          <w:b/>
          <w:bCs/>
        </w:rPr>
      </w:pPr>
      <w:r w:rsidRPr="00372C6B">
        <w:rPr>
          <w:rFonts w:ascii="Calibri" w:eastAsia="Aptos" w:hAnsi="Calibri" w:cs="Calibri"/>
          <w:b/>
          <w:bCs/>
        </w:rPr>
        <w:t>Conclusions and Recommendations</w:t>
      </w:r>
    </w:p>
    <w:p w14:paraId="521D3AC2" w14:textId="3D7546E7" w:rsidR="00A63391" w:rsidRPr="00372C6B" w:rsidRDefault="00A63391" w:rsidP="00A63391">
      <w:pPr>
        <w:spacing w:line="276" w:lineRule="auto"/>
        <w:rPr>
          <w:rFonts w:ascii="Calibri" w:eastAsia="Aptos" w:hAnsi="Calibri" w:cs="Calibri"/>
        </w:rPr>
      </w:pPr>
      <w:r w:rsidRPr="00372C6B">
        <w:rPr>
          <w:rFonts w:ascii="Calibri" w:eastAsia="Aptos" w:hAnsi="Calibri" w:cs="Calibri"/>
        </w:rPr>
        <w:lastRenderedPageBreak/>
        <w:t>The disturbance was triggered by a planned outage of a single 500 kV transmission line, but multiple factors exacerbated the situation, contributing to the widespread outage</w:t>
      </w:r>
      <w:r w:rsidR="00D84593" w:rsidRPr="00372C6B">
        <w:rPr>
          <w:rFonts w:ascii="Calibri" w:eastAsia="Aptos" w:hAnsi="Calibri" w:cs="Calibri"/>
        </w:rPr>
        <w:t>.</w:t>
      </w:r>
    </w:p>
    <w:p w14:paraId="580B373A" w14:textId="1E755B2A" w:rsidR="00A63391" w:rsidRPr="00372C6B" w:rsidRDefault="00A46004" w:rsidP="00A46004">
      <w:pPr>
        <w:spacing w:line="276" w:lineRule="auto"/>
        <w:rPr>
          <w:rFonts w:ascii="Calibri" w:eastAsia="Aptos" w:hAnsi="Calibri" w:cs="Calibri"/>
        </w:rPr>
      </w:pPr>
      <w:r w:rsidRPr="00372C6B">
        <w:rPr>
          <w:rFonts w:ascii="Calibri" w:eastAsia="Aptos" w:hAnsi="Calibri" w:cs="Calibri"/>
        </w:rPr>
        <w:t>Although wind generation was substantial at the time of the event, it was not identified as a contributing factor. The IBRs in eastern Wyoming tripped appropriately for the over-/under-voltage and frequency conditions of the event. After thorough analysis, it was found that all IBR protection and control settings operated as designed. In addition, IBRs supported a faster frequency recovery across the interconnection, driven largely by battery energy storage systems, while wind generation provided readily available capacity during system restoration.</w:t>
      </w:r>
    </w:p>
    <w:p w14:paraId="20C61ED6" w14:textId="344B7C98" w:rsidR="00D202E5" w:rsidRPr="00372C6B" w:rsidRDefault="00D202E5" w:rsidP="00D202E5">
      <w:pPr>
        <w:spacing w:line="276" w:lineRule="auto"/>
        <w:rPr>
          <w:rFonts w:ascii="Calibri" w:eastAsia="Aptos" w:hAnsi="Calibri" w:cs="Calibri"/>
          <w:b/>
          <w:bCs/>
        </w:rPr>
      </w:pPr>
      <w:r w:rsidRPr="00372C6B">
        <w:rPr>
          <w:rFonts w:ascii="Calibri" w:eastAsia="Aptos" w:hAnsi="Calibri" w:cs="Calibri"/>
        </w:rPr>
        <w:t xml:space="preserve">Key contributors were identified through the disturbance review and categorized into three primary groups: </w:t>
      </w:r>
      <w:r w:rsidRPr="00372C6B">
        <w:rPr>
          <w:rFonts w:ascii="Calibri" w:eastAsia="Aptos" w:hAnsi="Calibri" w:cs="Calibri"/>
          <w:b/>
          <w:bCs/>
        </w:rPr>
        <w:t>personnel, processes, and tools.</w:t>
      </w:r>
    </w:p>
    <w:p w14:paraId="462B3530" w14:textId="75F085A9" w:rsidR="00D202E5" w:rsidRPr="00372C6B" w:rsidRDefault="00D202E5" w:rsidP="00D202E5">
      <w:pPr>
        <w:spacing w:line="276" w:lineRule="auto"/>
        <w:rPr>
          <w:rFonts w:ascii="Calibri" w:eastAsia="Aptos" w:hAnsi="Calibri" w:cs="Calibri"/>
        </w:rPr>
      </w:pPr>
      <w:r w:rsidRPr="00372C6B">
        <w:rPr>
          <w:rFonts w:ascii="Calibri" w:eastAsia="Aptos" w:hAnsi="Calibri" w:cs="Calibri"/>
        </w:rPr>
        <w:t>Recommendations include:</w:t>
      </w:r>
    </w:p>
    <w:p w14:paraId="7AFA45D5" w14:textId="24C5D807" w:rsidR="00D202E5" w:rsidRPr="00372C6B" w:rsidRDefault="00D202E5" w:rsidP="00D202E5">
      <w:pPr>
        <w:spacing w:line="276" w:lineRule="auto"/>
        <w:rPr>
          <w:rFonts w:ascii="Calibri" w:eastAsia="Aptos" w:hAnsi="Calibri" w:cs="Calibri"/>
        </w:rPr>
      </w:pPr>
      <w:r w:rsidRPr="00372C6B">
        <w:rPr>
          <w:rFonts w:ascii="Calibri" w:eastAsia="Aptos" w:hAnsi="Calibri" w:cs="Calibri"/>
        </w:rPr>
        <w:t>WECC and NERC recommend improving communication during system events to ensure mutual understanding among operating entities, improving RAS update coordination between RCs and TOPs, using conservative decision-making in verifying any discrepancies between RTCA</w:t>
      </w:r>
      <w:r w:rsidR="00D37D48" w:rsidRPr="00372C6B">
        <w:rPr>
          <w:rFonts w:ascii="Calibri" w:eastAsia="Aptos" w:hAnsi="Calibri" w:cs="Calibri"/>
        </w:rPr>
        <w:t xml:space="preserve"> </w:t>
      </w:r>
      <w:r w:rsidRPr="00372C6B">
        <w:rPr>
          <w:rFonts w:ascii="Calibri" w:eastAsia="Aptos" w:hAnsi="Calibri" w:cs="Calibri"/>
        </w:rPr>
        <w:t>results</w:t>
      </w:r>
      <w:r w:rsidR="00D37D48" w:rsidRPr="00372C6B">
        <w:rPr>
          <w:rFonts w:ascii="Calibri" w:eastAsia="Aptos" w:hAnsi="Calibri" w:cs="Calibri"/>
        </w:rPr>
        <w:t>,</w:t>
      </w:r>
      <w:r w:rsidRPr="00372C6B">
        <w:rPr>
          <w:rFonts w:ascii="Calibri" w:eastAsia="Aptos" w:hAnsi="Calibri" w:cs="Calibri"/>
        </w:rPr>
        <w:t xml:space="preserve"> and expanding restoration training to include complex multi-entity restoration scenarios</w:t>
      </w:r>
      <w:r w:rsidR="00D37D48" w:rsidRPr="00372C6B">
        <w:rPr>
          <w:rFonts w:ascii="Calibri" w:eastAsia="Aptos" w:hAnsi="Calibri" w:cs="Calibri"/>
        </w:rPr>
        <w:t>, among other recommendations</w:t>
      </w:r>
      <w:r w:rsidRPr="00372C6B">
        <w:rPr>
          <w:rFonts w:ascii="Calibri" w:eastAsia="Aptos" w:hAnsi="Calibri" w:cs="Calibri"/>
        </w:rPr>
        <w:t xml:space="preserve">. The report also recommends using additional off-line tools to validate on-line analyses and </w:t>
      </w:r>
      <w:r w:rsidR="00D37D48" w:rsidRPr="00372C6B">
        <w:rPr>
          <w:rFonts w:ascii="Calibri" w:eastAsia="Aptos" w:hAnsi="Calibri" w:cs="Calibri"/>
        </w:rPr>
        <w:t>ensuring consistent modeling of system parameters such as RAS status.</w:t>
      </w:r>
    </w:p>
    <w:p w14:paraId="4FE89473" w14:textId="7CE206AE" w:rsidR="00C37707" w:rsidRDefault="00C37707" w:rsidP="00D202E5">
      <w:pPr>
        <w:spacing w:line="276" w:lineRule="auto"/>
        <w:rPr>
          <w:rFonts w:ascii="Calibri" w:eastAsia="Aptos" w:hAnsi="Calibri" w:cs="Calibri"/>
        </w:rPr>
      </w:pPr>
      <w:r>
        <w:rPr>
          <w:rFonts w:ascii="Calibri" w:eastAsia="Aptos" w:hAnsi="Calibri" w:cs="Calibri"/>
        </w:rPr>
        <w:t>Report “</w:t>
      </w:r>
      <w:r w:rsidRPr="00C37707">
        <w:rPr>
          <w:rFonts w:ascii="Calibri" w:eastAsia="Aptos" w:hAnsi="Calibri" w:cs="Calibri"/>
        </w:rPr>
        <w:t>November 13 Wyoming Disturbance</w:t>
      </w:r>
      <w:r>
        <w:rPr>
          <w:rFonts w:ascii="Calibri" w:eastAsia="Aptos" w:hAnsi="Calibri" w:cs="Calibri"/>
        </w:rPr>
        <w:t>”, A C</w:t>
      </w:r>
      <w:r w:rsidRPr="00C37707">
        <w:rPr>
          <w:rFonts w:ascii="Calibri" w:eastAsia="Aptos" w:hAnsi="Calibri" w:cs="Calibri"/>
        </w:rPr>
        <w:t>ollaboration between WECC and NERC</w:t>
      </w:r>
      <w:r>
        <w:rPr>
          <w:rFonts w:ascii="Calibri" w:eastAsia="Aptos" w:hAnsi="Calibri" w:cs="Calibri"/>
        </w:rPr>
        <w:t xml:space="preserve">, June 8, 2026, available online at </w:t>
      </w:r>
      <w:r w:rsidRPr="00C37707">
        <w:rPr>
          <w:rFonts w:ascii="Calibri" w:eastAsia="Aptos" w:hAnsi="Calibri" w:cs="Calibri"/>
        </w:rPr>
        <w:t>https://www.wecc.org/sites/default/files/documents/progress_report/2026/November%2013%20Wyoming%20Disturbance_Report_Final.pdf</w:t>
      </w:r>
    </w:p>
    <w:p w14:paraId="07754123" w14:textId="77777777" w:rsidR="00C37707" w:rsidRPr="00372C6B" w:rsidRDefault="00C37707" w:rsidP="00D202E5">
      <w:pPr>
        <w:spacing w:line="276" w:lineRule="auto"/>
        <w:rPr>
          <w:rFonts w:ascii="Calibri" w:eastAsia="Aptos" w:hAnsi="Calibri" w:cs="Calibri"/>
        </w:rPr>
      </w:pPr>
    </w:p>
    <w:p w14:paraId="67C5DBEA" w14:textId="7C10A809" w:rsidR="00BC315C" w:rsidRDefault="003A1AA3" w:rsidP="004D3FFB">
      <w:pPr>
        <w:pStyle w:val="Heading3"/>
        <w:rPr>
          <w:rFonts w:cstheme="minorBidi"/>
        </w:rPr>
      </w:pPr>
      <w:r>
        <w:rPr>
          <w:rFonts w:ascii="Calibri" w:hAnsi="Calibri" w:cs="Calibri"/>
        </w:rPr>
        <w:t>7</w:t>
      </w:r>
      <w:r w:rsidR="004D3FFB" w:rsidRPr="004D3FFB">
        <w:rPr>
          <w:rFonts w:ascii="Calibri" w:hAnsi="Calibri" w:cs="Calibri"/>
        </w:rPr>
        <w:t>.2.2  Florida Disturbance – January 11, 2019</w:t>
      </w:r>
    </w:p>
    <w:p w14:paraId="680380CA" w14:textId="0CDFD7D4" w:rsidR="00393336" w:rsidRPr="00372C6B" w:rsidRDefault="0054429E" w:rsidP="00393336">
      <w:pPr>
        <w:spacing w:before="240" w:line="276" w:lineRule="auto"/>
        <w:rPr>
          <w:rFonts w:ascii="Calibri" w:eastAsia="Aptos" w:hAnsi="Calibri" w:cs="Calibri"/>
          <w:b/>
          <w:bCs/>
        </w:rPr>
      </w:pPr>
      <w:r w:rsidRPr="00372C6B">
        <w:rPr>
          <w:rFonts w:ascii="Calibri" w:eastAsia="Aptos" w:hAnsi="Calibri" w:cs="Calibri"/>
          <w:b/>
          <w:bCs/>
        </w:rPr>
        <w:t>Event</w:t>
      </w:r>
      <w:r w:rsidR="00393336" w:rsidRPr="00372C6B">
        <w:rPr>
          <w:rFonts w:ascii="Calibri" w:eastAsia="Aptos" w:hAnsi="Calibri" w:cs="Calibri"/>
          <w:b/>
          <w:bCs/>
        </w:rPr>
        <w:t xml:space="preserve"> Description</w:t>
      </w:r>
    </w:p>
    <w:p w14:paraId="50380B82" w14:textId="77777777" w:rsidR="00393336" w:rsidRPr="00372C6B" w:rsidRDefault="00393336" w:rsidP="00393336">
      <w:pPr>
        <w:spacing w:line="276" w:lineRule="auto"/>
        <w:rPr>
          <w:rFonts w:ascii="Calibri" w:eastAsia="Aptos" w:hAnsi="Calibri" w:cs="Calibri"/>
        </w:rPr>
      </w:pPr>
      <w:r w:rsidRPr="00372C6B">
        <w:rPr>
          <w:rFonts w:ascii="Calibri" w:eastAsia="Aptos" w:hAnsi="Calibri" w:cs="Calibri"/>
        </w:rPr>
        <w:t xml:space="preserve">The January 11, 2019, forced oscillation event is widely regarded as one of the most significant and well-documented wide-area oscillation incidents in the history of the North American Eastern Interconnection (EI). For approximately 18 minutes, a single malfunctioning unit in Florida drove a massive system-wide oscillation that shook the grid from the Gulf Coast all the way to New England and Canada. A potential transformer feeding a governor controller failed, and the turbine’s intercept valves began physically shutting and reopening </w:t>
      </w:r>
      <w:r w:rsidRPr="00372C6B">
        <w:rPr>
          <w:rFonts w:ascii="Calibri" w:eastAsia="Aptos" w:hAnsi="Calibri" w:cs="Calibri"/>
          <w:b/>
          <w:bCs/>
        </w:rPr>
        <w:t>every 4 seconds</w:t>
      </w:r>
      <w:r w:rsidRPr="00372C6B">
        <w:rPr>
          <w:rFonts w:ascii="Calibri" w:eastAsia="Aptos" w:hAnsi="Calibri" w:cs="Calibri"/>
        </w:rPr>
        <w:t xml:space="preserve">. This periodic mechanical cycling injected a continuous, cyclic power swing of </w:t>
      </w:r>
      <w:r w:rsidRPr="00372C6B">
        <w:rPr>
          <w:rFonts w:ascii="Calibri" w:eastAsia="Aptos" w:hAnsi="Calibri" w:cs="Calibri"/>
          <w:b/>
          <w:bCs/>
        </w:rPr>
        <w:t xml:space="preserve">0.25 Hz </w:t>
      </w:r>
      <w:r w:rsidRPr="00372C6B">
        <w:rPr>
          <w:rFonts w:ascii="Calibri" w:eastAsia="Aptos" w:hAnsi="Calibri" w:cs="Calibri"/>
        </w:rPr>
        <w:t xml:space="preserve">directly into the transmission network. </w:t>
      </w:r>
    </w:p>
    <w:p w14:paraId="05A82803" w14:textId="60921973" w:rsidR="00393336" w:rsidRPr="00372C6B" w:rsidRDefault="00393336" w:rsidP="00393336">
      <w:pPr>
        <w:spacing w:before="240" w:line="276" w:lineRule="auto"/>
        <w:rPr>
          <w:rFonts w:ascii="Calibri" w:eastAsia="Aptos" w:hAnsi="Calibri" w:cs="Calibri"/>
          <w:b/>
          <w:bCs/>
        </w:rPr>
      </w:pPr>
      <w:r w:rsidRPr="00372C6B">
        <w:rPr>
          <w:rFonts w:ascii="Calibri" w:eastAsia="Aptos" w:hAnsi="Calibri" w:cs="Calibri"/>
          <w:b/>
          <w:bCs/>
        </w:rPr>
        <w:t>Consequences</w:t>
      </w:r>
    </w:p>
    <w:p w14:paraId="0CCDF73A" w14:textId="111E6BBF" w:rsidR="00393336" w:rsidRPr="00372C6B" w:rsidRDefault="00393336" w:rsidP="00393336">
      <w:pPr>
        <w:spacing w:line="276" w:lineRule="auto"/>
        <w:rPr>
          <w:rFonts w:ascii="Calibri" w:eastAsia="Aptos" w:hAnsi="Calibri" w:cs="Calibri"/>
        </w:rPr>
      </w:pPr>
      <w:r w:rsidRPr="00372C6B">
        <w:rPr>
          <w:rFonts w:ascii="Calibri" w:eastAsia="Aptos" w:hAnsi="Calibri" w:cs="Calibri"/>
        </w:rPr>
        <w:lastRenderedPageBreak/>
        <w:t xml:space="preserve">This forced oscillation resonated with the EI's 0.24 Hz natural mode, leading to wide-area oscillations throughout the EI. </w:t>
      </w:r>
    </w:p>
    <w:p w14:paraId="188EDA82" w14:textId="3B61771B" w:rsidR="00393336" w:rsidRPr="00372C6B" w:rsidRDefault="00393336" w:rsidP="00393336">
      <w:pPr>
        <w:spacing w:before="240" w:line="276" w:lineRule="auto"/>
        <w:rPr>
          <w:rFonts w:ascii="Calibri" w:eastAsia="Aptos" w:hAnsi="Calibri" w:cs="Calibri"/>
          <w:b/>
          <w:bCs/>
        </w:rPr>
      </w:pPr>
      <w:r w:rsidRPr="00372C6B">
        <w:rPr>
          <w:rFonts w:ascii="Calibri" w:eastAsia="Aptos" w:hAnsi="Calibri" w:cs="Calibri"/>
          <w:b/>
          <w:bCs/>
        </w:rPr>
        <w:t>Recommendations</w:t>
      </w:r>
    </w:p>
    <w:p w14:paraId="03080419" w14:textId="77777777" w:rsidR="00393336" w:rsidRPr="00372C6B" w:rsidRDefault="00393336" w:rsidP="00393336">
      <w:pPr>
        <w:spacing w:line="276" w:lineRule="auto"/>
        <w:rPr>
          <w:rFonts w:ascii="Calibri" w:eastAsia="Aptos" w:hAnsi="Calibri" w:cs="Calibri"/>
        </w:rPr>
      </w:pPr>
      <w:r w:rsidRPr="00372C6B">
        <w:rPr>
          <w:rFonts w:ascii="Calibri" w:eastAsia="Aptos" w:hAnsi="Calibri" w:cs="Calibri"/>
        </w:rPr>
        <w:t>RCs should have real-time oscillation detection tools in place to identify when oscillations are occurring, determine if it is limited locally within their footprint or across a wider area, and distinguish between forced oscillations and poorly damped natural system modes.</w:t>
      </w:r>
    </w:p>
    <w:p w14:paraId="6591E92E" w14:textId="77777777" w:rsidR="00393336" w:rsidRPr="00372C6B" w:rsidRDefault="00393336" w:rsidP="00393336">
      <w:pPr>
        <w:spacing w:line="276" w:lineRule="auto"/>
        <w:rPr>
          <w:rFonts w:ascii="Calibri" w:eastAsia="Aptos" w:hAnsi="Calibri" w:cs="Calibri"/>
        </w:rPr>
      </w:pPr>
      <w:r w:rsidRPr="00372C6B">
        <w:rPr>
          <w:rFonts w:ascii="Calibri" w:eastAsia="Aptos" w:hAnsi="Calibri" w:cs="Calibri"/>
        </w:rPr>
        <w:t>RCs should improve communication with neighboring RCs in the event of widespread oscillation disturbances on the BPS. Operating procedures could be an effective means of ensuring this coordination upon identification of an oscillation.</w:t>
      </w:r>
    </w:p>
    <w:p w14:paraId="79F895C1" w14:textId="5FE74AE9" w:rsidR="008C08FE" w:rsidRPr="00372C6B" w:rsidRDefault="00393336" w:rsidP="00393336">
      <w:pPr>
        <w:spacing w:line="276" w:lineRule="auto"/>
        <w:rPr>
          <w:rFonts w:ascii="Calibri" w:eastAsia="Aptos" w:hAnsi="Calibri" w:cs="Calibri"/>
        </w:rPr>
      </w:pPr>
      <w:r w:rsidRPr="00372C6B">
        <w:rPr>
          <w:rFonts w:ascii="Calibri" w:eastAsia="Aptos" w:hAnsi="Calibri" w:cs="Calibri"/>
        </w:rPr>
        <w:t xml:space="preserve"> RCs should consider jointly developing interconnection-wide oscillation detection and source location applications using interconnection-wide PMU and SCADA data.</w:t>
      </w:r>
    </w:p>
    <w:p w14:paraId="5739EFCE" w14:textId="77777777" w:rsidR="00393336" w:rsidRPr="00372C6B" w:rsidRDefault="00393336" w:rsidP="00393336">
      <w:pPr>
        <w:spacing w:line="276" w:lineRule="auto"/>
        <w:rPr>
          <w:rFonts w:ascii="Calibri" w:eastAsia="Aptos" w:hAnsi="Calibri" w:cs="Calibri"/>
        </w:rPr>
      </w:pPr>
    </w:p>
    <w:p w14:paraId="3E6E9515" w14:textId="1C5C9F81" w:rsidR="008B5C61" w:rsidRPr="003A1AA3" w:rsidRDefault="003A1AA3" w:rsidP="003A1AA3">
      <w:pPr>
        <w:pStyle w:val="Heading2"/>
        <w:numPr>
          <w:ilvl w:val="0"/>
          <w:numId w:val="0"/>
        </w:numPr>
        <w:spacing w:line="276" w:lineRule="auto"/>
        <w:rPr>
          <w:rFonts w:ascii="Calibri" w:eastAsia="Aptos Display" w:hAnsi="Calibri" w:cs="Calibri"/>
        </w:rPr>
      </w:pPr>
      <w:r>
        <w:rPr>
          <w:rFonts w:ascii="Calibri" w:eastAsia="Aptos Display" w:hAnsi="Calibri" w:cs="Calibri"/>
        </w:rPr>
        <w:t>7</w:t>
      </w:r>
      <w:r w:rsidR="00344BF5" w:rsidRPr="003A1AA3">
        <w:rPr>
          <w:rFonts w:ascii="Calibri" w:eastAsia="Aptos Display" w:hAnsi="Calibri" w:cs="Calibri"/>
        </w:rPr>
        <w:t xml:space="preserve">.3         </w:t>
      </w:r>
      <w:r w:rsidR="00BC315C" w:rsidRPr="003A1AA3">
        <w:rPr>
          <w:rFonts w:ascii="Calibri" w:eastAsia="Aptos Display" w:hAnsi="Calibri" w:cs="Calibri"/>
        </w:rPr>
        <w:t>Blackouts outside of North America</w:t>
      </w:r>
    </w:p>
    <w:p w14:paraId="25AC83A4" w14:textId="77777777" w:rsidR="008C08FE" w:rsidRPr="00372C6B" w:rsidRDefault="008C08FE" w:rsidP="008C08FE">
      <w:pPr>
        <w:spacing w:line="276" w:lineRule="auto"/>
        <w:rPr>
          <w:rFonts w:ascii="Calibri" w:eastAsia="Aptos" w:hAnsi="Calibri" w:cs="Calibri"/>
        </w:rPr>
      </w:pPr>
      <w:r w:rsidRPr="00372C6B">
        <w:rPr>
          <w:rFonts w:ascii="Calibri" w:eastAsia="Aptos" w:hAnsi="Calibri" w:cs="Calibri"/>
        </w:rPr>
        <w:t xml:space="preserve"> </w:t>
      </w:r>
    </w:p>
    <w:p w14:paraId="50698C24" w14:textId="7FFFA3A4" w:rsidR="00BC315C" w:rsidRDefault="003A1AA3" w:rsidP="00013735">
      <w:pPr>
        <w:pStyle w:val="Heading3"/>
        <w:rPr>
          <w:rFonts w:cstheme="minorBidi"/>
        </w:rPr>
      </w:pPr>
      <w:r>
        <w:rPr>
          <w:rFonts w:ascii="Calibri" w:hAnsi="Calibri" w:cs="Calibri"/>
        </w:rPr>
        <w:t>7</w:t>
      </w:r>
      <w:r w:rsidR="00013735" w:rsidRPr="00013735">
        <w:rPr>
          <w:rFonts w:ascii="Calibri" w:hAnsi="Calibri" w:cs="Calibri"/>
        </w:rPr>
        <w:t xml:space="preserve">.3.1  Iberian Peninsula Blackout – April 28, 2025 </w:t>
      </w:r>
    </w:p>
    <w:p w14:paraId="43CA5D3B" w14:textId="157FD6F4" w:rsidR="00E16521" w:rsidRPr="00372C6B" w:rsidRDefault="0054429E" w:rsidP="006803B2">
      <w:pPr>
        <w:spacing w:before="240" w:line="276" w:lineRule="auto"/>
        <w:rPr>
          <w:rFonts w:ascii="Calibri" w:eastAsia="Aptos" w:hAnsi="Calibri" w:cs="Calibri"/>
          <w:b/>
          <w:bCs/>
        </w:rPr>
      </w:pPr>
      <w:r w:rsidRPr="00372C6B">
        <w:rPr>
          <w:rFonts w:ascii="Calibri" w:eastAsia="Aptos" w:hAnsi="Calibri" w:cs="Calibri"/>
          <w:b/>
          <w:bCs/>
        </w:rPr>
        <w:t>Event</w:t>
      </w:r>
      <w:r w:rsidR="00E16521" w:rsidRPr="00372C6B">
        <w:rPr>
          <w:rFonts w:ascii="Calibri" w:eastAsia="Aptos" w:hAnsi="Calibri" w:cs="Calibri"/>
          <w:b/>
          <w:bCs/>
        </w:rPr>
        <w:t xml:space="preserve"> Type</w:t>
      </w:r>
    </w:p>
    <w:p w14:paraId="3DB7A031" w14:textId="138C9980" w:rsidR="003207AE" w:rsidRPr="00372C6B" w:rsidRDefault="00E16521" w:rsidP="008C08FE">
      <w:pPr>
        <w:spacing w:line="276" w:lineRule="auto"/>
        <w:rPr>
          <w:rFonts w:ascii="Calibri" w:eastAsia="Aptos" w:hAnsi="Calibri" w:cs="Calibri"/>
        </w:rPr>
      </w:pPr>
      <w:r w:rsidRPr="00372C6B">
        <w:rPr>
          <w:rFonts w:ascii="Calibri" w:eastAsia="Aptos" w:hAnsi="Calibri" w:cs="Calibri"/>
        </w:rPr>
        <w:t>A</w:t>
      </w:r>
      <w:r w:rsidR="003207AE" w:rsidRPr="00372C6B">
        <w:rPr>
          <w:rFonts w:ascii="Calibri" w:eastAsia="Aptos" w:hAnsi="Calibri" w:cs="Calibri"/>
        </w:rPr>
        <w:t xml:space="preserve"> rapid, multi-stage cascading blackout resulted from multiple interacting factors</w:t>
      </w:r>
      <w:r w:rsidRPr="00372C6B">
        <w:rPr>
          <w:rFonts w:ascii="Calibri" w:eastAsia="Aptos" w:hAnsi="Calibri" w:cs="Calibri"/>
        </w:rPr>
        <w:t>,</w:t>
      </w:r>
      <w:r w:rsidR="003207AE" w:rsidRPr="00372C6B">
        <w:rPr>
          <w:rFonts w:ascii="Calibri" w:eastAsia="Aptos" w:hAnsi="Calibri" w:cs="Calibri"/>
        </w:rPr>
        <w:t xml:space="preserve"> driven by system oscillations, limited voltage control, and generation disconnections</w:t>
      </w:r>
      <w:r w:rsidRPr="00372C6B">
        <w:rPr>
          <w:rFonts w:ascii="Calibri" w:eastAsia="Aptos" w:hAnsi="Calibri" w:cs="Calibri"/>
        </w:rPr>
        <w:t>,</w:t>
      </w:r>
      <w:r w:rsidR="003207AE" w:rsidRPr="00372C6B">
        <w:rPr>
          <w:rFonts w:ascii="Calibri" w:eastAsia="Aptos" w:hAnsi="Calibri" w:cs="Calibri"/>
        </w:rPr>
        <w:t xml:space="preserve"> that led to system separation before operators could respond</w:t>
      </w:r>
      <w:r w:rsidRPr="00372C6B">
        <w:rPr>
          <w:rFonts w:ascii="Calibri" w:eastAsia="Aptos" w:hAnsi="Calibri" w:cs="Calibri"/>
        </w:rPr>
        <w:t>.</w:t>
      </w:r>
      <w:r w:rsidR="008A5875" w:rsidRPr="00372C6B">
        <w:rPr>
          <w:rFonts w:ascii="Calibri" w:eastAsia="Aptos" w:hAnsi="Calibri" w:cs="Calibri"/>
        </w:rPr>
        <w:t xml:space="preserve"> The grid collapsed 27 seconds after the first trip</w:t>
      </w:r>
      <w:r w:rsidR="0066474A" w:rsidRPr="00372C6B">
        <w:rPr>
          <w:rFonts w:ascii="Calibri" w:eastAsia="Aptos" w:hAnsi="Calibri" w:cs="Calibri"/>
        </w:rPr>
        <w:t xml:space="preserve"> </w:t>
      </w:r>
      <w:r w:rsidR="00BA2EB8">
        <w:rPr>
          <w:rFonts w:ascii="Calibri" w:eastAsia="Aptos" w:hAnsi="Calibri" w:cs="Calibri"/>
        </w:rPr>
        <w:t xml:space="preserve">of </w:t>
      </w:r>
      <w:r w:rsidR="0066474A" w:rsidRPr="00372C6B">
        <w:rPr>
          <w:rFonts w:ascii="Calibri" w:eastAsia="Aptos" w:hAnsi="Calibri" w:cs="Calibri"/>
        </w:rPr>
        <w:t>generation transformer at Granada</w:t>
      </w:r>
      <w:r w:rsidR="00865262">
        <w:rPr>
          <w:rFonts w:ascii="Calibri" w:eastAsia="Aptos" w:hAnsi="Calibri" w:cs="Calibri"/>
        </w:rPr>
        <w:t xml:space="preserve"> (see </w:t>
      </w:r>
      <w:r w:rsidR="00865262">
        <w:rPr>
          <w:rFonts w:ascii="Calibri" w:eastAsia="Aptos" w:hAnsi="Calibri" w:cs="Calibri"/>
        </w:rPr>
        <w:fldChar w:fldCharType="begin"/>
      </w:r>
      <w:r w:rsidR="00865262">
        <w:rPr>
          <w:rFonts w:ascii="Calibri" w:eastAsia="Aptos" w:hAnsi="Calibri" w:cs="Calibri"/>
        </w:rPr>
        <w:instrText xml:space="preserve"> REF _Ref234704391 \h </w:instrText>
      </w:r>
      <w:r w:rsidR="00865262">
        <w:rPr>
          <w:rFonts w:ascii="Calibri" w:eastAsia="Aptos" w:hAnsi="Calibri" w:cs="Calibri"/>
        </w:rPr>
      </w:r>
      <w:r w:rsidR="00865262">
        <w:rPr>
          <w:rFonts w:ascii="Calibri" w:eastAsia="Aptos" w:hAnsi="Calibri" w:cs="Calibri"/>
        </w:rPr>
        <w:fldChar w:fldCharType="separate"/>
      </w:r>
      <w:r w:rsidR="00865262">
        <w:t xml:space="preserve">Figure </w:t>
      </w:r>
      <w:r w:rsidR="00865262">
        <w:rPr>
          <w:noProof/>
        </w:rPr>
        <w:t>2</w:t>
      </w:r>
      <w:r w:rsidR="00865262">
        <w:rPr>
          <w:rFonts w:ascii="Calibri" w:eastAsia="Aptos" w:hAnsi="Calibri" w:cs="Calibri"/>
        </w:rPr>
        <w:fldChar w:fldCharType="end"/>
      </w:r>
      <w:r w:rsidR="00865262">
        <w:rPr>
          <w:rFonts w:ascii="Calibri" w:eastAsia="Aptos" w:hAnsi="Calibri" w:cs="Calibri"/>
        </w:rPr>
        <w:t>)</w:t>
      </w:r>
      <w:r w:rsidR="008A5875" w:rsidRPr="00372C6B">
        <w:rPr>
          <w:rFonts w:ascii="Calibri" w:eastAsia="Aptos" w:hAnsi="Calibri" w:cs="Calibri"/>
        </w:rPr>
        <w:t>.</w:t>
      </w:r>
      <w:r w:rsidR="007A1B21" w:rsidRPr="00372C6B">
        <w:rPr>
          <w:rFonts w:ascii="Calibri" w:eastAsia="Aptos" w:hAnsi="Calibri" w:cs="Calibri"/>
        </w:rPr>
        <w:t xml:space="preserve"> Full grid restoration took approximately 15 hours and 27 minutes.</w:t>
      </w:r>
    </w:p>
    <w:p w14:paraId="4191987E" w14:textId="299A5EC7" w:rsidR="00E16521" w:rsidRPr="00372C6B" w:rsidRDefault="00E16521" w:rsidP="006803B2">
      <w:pPr>
        <w:spacing w:before="240" w:line="276" w:lineRule="auto"/>
        <w:rPr>
          <w:rFonts w:ascii="Calibri" w:eastAsia="Aptos" w:hAnsi="Calibri" w:cs="Calibri"/>
          <w:b/>
          <w:bCs/>
        </w:rPr>
      </w:pPr>
      <w:r w:rsidRPr="00372C6B">
        <w:rPr>
          <w:rFonts w:ascii="Calibri" w:eastAsia="Aptos" w:hAnsi="Calibri" w:cs="Calibri"/>
          <w:b/>
          <w:bCs/>
        </w:rPr>
        <w:t xml:space="preserve">Brief </w:t>
      </w:r>
      <w:r w:rsidR="0054429E" w:rsidRPr="00372C6B">
        <w:rPr>
          <w:rFonts w:ascii="Calibri" w:eastAsia="Aptos" w:hAnsi="Calibri" w:cs="Calibri"/>
          <w:b/>
          <w:bCs/>
        </w:rPr>
        <w:t>Event</w:t>
      </w:r>
      <w:r w:rsidRPr="00372C6B">
        <w:rPr>
          <w:rFonts w:ascii="Calibri" w:eastAsia="Aptos" w:hAnsi="Calibri" w:cs="Calibri"/>
          <w:b/>
          <w:bCs/>
        </w:rPr>
        <w:t xml:space="preserve"> Description</w:t>
      </w:r>
    </w:p>
    <w:p w14:paraId="13966407" w14:textId="372E37F1" w:rsidR="00E16521" w:rsidRPr="00372C6B" w:rsidRDefault="00E16521" w:rsidP="00E16521">
      <w:pPr>
        <w:spacing w:line="276" w:lineRule="auto"/>
        <w:rPr>
          <w:rFonts w:ascii="Calibri" w:eastAsia="Aptos" w:hAnsi="Calibri" w:cs="Calibri"/>
        </w:rPr>
      </w:pPr>
      <w:r w:rsidRPr="00372C6B">
        <w:rPr>
          <w:rFonts w:ascii="Calibri" w:eastAsia="Aptos" w:hAnsi="Calibri" w:cs="Calibri"/>
        </w:rPr>
        <w:t>On April 28, 2025, Spain and Portugal experienced a major grid collapse triggered by high solar output conditions accounting for 72% of generation and low demand. There were number of interconnected factors which contributed to the blackout. As with other blackouts, there was no single major cause of this blackout as the chain of unpredictable events interacting with each other caused it.</w:t>
      </w:r>
    </w:p>
    <w:p w14:paraId="124C8F74" w14:textId="77777777" w:rsidR="00E16521" w:rsidRPr="00372C6B" w:rsidRDefault="00E16521" w:rsidP="00E16521">
      <w:pPr>
        <w:spacing w:line="276" w:lineRule="auto"/>
        <w:rPr>
          <w:rFonts w:ascii="Calibri" w:eastAsia="Aptos" w:hAnsi="Calibri" w:cs="Calibri"/>
        </w:rPr>
      </w:pPr>
      <w:r w:rsidRPr="00372C6B">
        <w:rPr>
          <w:rFonts w:ascii="Calibri" w:eastAsia="Aptos" w:hAnsi="Calibri" w:cs="Calibri"/>
        </w:rPr>
        <w:t xml:space="preserve">High level summary is below: </w:t>
      </w:r>
    </w:p>
    <w:p w14:paraId="1E28064C" w14:textId="24512712" w:rsidR="00E16521" w:rsidRPr="00372C6B" w:rsidRDefault="00E16521" w:rsidP="00E16521">
      <w:pPr>
        <w:pStyle w:val="ListParagraph"/>
        <w:numPr>
          <w:ilvl w:val="2"/>
          <w:numId w:val="5"/>
        </w:numPr>
        <w:spacing w:line="276" w:lineRule="auto"/>
        <w:ind w:left="720" w:hanging="360"/>
        <w:rPr>
          <w:rFonts w:ascii="Calibri" w:eastAsia="Aptos" w:hAnsi="Calibri" w:cs="Calibri"/>
        </w:rPr>
      </w:pPr>
      <w:r w:rsidRPr="00372C6B">
        <w:rPr>
          <w:rFonts w:ascii="Calibri" w:eastAsia="Aptos" w:hAnsi="Calibri" w:cs="Calibri"/>
        </w:rPr>
        <w:t>As low-frequency oscillations (0.2 Hz and 0.6 Hz) occurred, operators took action to damp them by increasing voltage which resulted in voltage variations.</w:t>
      </w:r>
    </w:p>
    <w:p w14:paraId="00864B15" w14:textId="77777777" w:rsidR="00E16521" w:rsidRPr="00372C6B" w:rsidRDefault="00E16521" w:rsidP="00E16521">
      <w:pPr>
        <w:spacing w:line="276" w:lineRule="auto"/>
        <w:ind w:left="720"/>
        <w:rPr>
          <w:rFonts w:ascii="Calibri" w:eastAsia="Aptos" w:hAnsi="Calibri" w:cs="Calibri"/>
        </w:rPr>
      </w:pPr>
      <w:r w:rsidRPr="00372C6B">
        <w:rPr>
          <w:rFonts w:ascii="Calibri" w:eastAsia="Aptos" w:hAnsi="Calibri" w:cs="Calibri"/>
        </w:rPr>
        <w:lastRenderedPageBreak/>
        <w:t>Note that PMU installed were able to detect oscillations and that operators followed the prescribed procedures.</w:t>
      </w:r>
    </w:p>
    <w:p w14:paraId="3AFB2452" w14:textId="4D9926B7" w:rsidR="00E16521" w:rsidRPr="00372C6B" w:rsidRDefault="00E16521" w:rsidP="00E16521">
      <w:pPr>
        <w:pStyle w:val="ListParagraph"/>
        <w:numPr>
          <w:ilvl w:val="2"/>
          <w:numId w:val="5"/>
        </w:numPr>
        <w:spacing w:line="276" w:lineRule="auto"/>
        <w:ind w:left="720" w:hanging="360"/>
        <w:rPr>
          <w:rFonts w:ascii="Calibri" w:eastAsia="Aptos" w:hAnsi="Calibri" w:cs="Calibri"/>
        </w:rPr>
      </w:pPr>
      <w:r w:rsidRPr="00372C6B">
        <w:rPr>
          <w:rFonts w:ascii="Calibri" w:eastAsia="Aptos" w:hAnsi="Calibri" w:cs="Calibri"/>
        </w:rPr>
        <w:t xml:space="preserve">Fast voltage variations resulted in inability of tap changers to adjust the voltage exacerbating voltage rise above the setting points of IBRs. </w:t>
      </w:r>
    </w:p>
    <w:p w14:paraId="4FAD2067" w14:textId="658F9124" w:rsidR="00E16521" w:rsidRPr="00372C6B" w:rsidRDefault="00E16521" w:rsidP="00E16521">
      <w:pPr>
        <w:pStyle w:val="ListParagraph"/>
        <w:numPr>
          <w:ilvl w:val="2"/>
          <w:numId w:val="5"/>
        </w:numPr>
        <w:spacing w:line="276" w:lineRule="auto"/>
        <w:ind w:left="720" w:hanging="360"/>
        <w:rPr>
          <w:rFonts w:ascii="Calibri" w:eastAsia="Aptos" w:hAnsi="Calibri" w:cs="Calibri"/>
        </w:rPr>
      </w:pPr>
      <w:r w:rsidRPr="00372C6B">
        <w:rPr>
          <w:rFonts w:ascii="Calibri" w:eastAsia="Aptos" w:hAnsi="Calibri" w:cs="Calibri"/>
        </w:rPr>
        <w:t>As a result, solar generation tripped due to high voltage based on IBR voltage ride-through capabilities resulting in cascading tripping of IBRs.</w:t>
      </w:r>
    </w:p>
    <w:p w14:paraId="3FC0E0B7" w14:textId="77777777" w:rsidR="00E16521" w:rsidRPr="00372C6B" w:rsidRDefault="00E16521">
      <w:pPr>
        <w:pStyle w:val="ListParagraph"/>
        <w:numPr>
          <w:ilvl w:val="0"/>
          <w:numId w:val="20"/>
        </w:numPr>
        <w:spacing w:line="276" w:lineRule="auto"/>
        <w:rPr>
          <w:rFonts w:ascii="Calibri" w:eastAsia="Aptos" w:hAnsi="Calibri" w:cs="Calibri"/>
        </w:rPr>
      </w:pPr>
      <w:r w:rsidRPr="00372C6B">
        <w:rPr>
          <w:rFonts w:ascii="Calibri" w:eastAsia="Aptos" w:hAnsi="Calibri" w:cs="Calibri"/>
        </w:rPr>
        <w:t>Voltage issues were emphasized as PV generation operated at the unity power factor not able to provide dynamic voltage regulation.</w:t>
      </w:r>
    </w:p>
    <w:p w14:paraId="6579A964" w14:textId="355DDCFC" w:rsidR="00E16521" w:rsidRPr="00372C6B" w:rsidRDefault="00E16521" w:rsidP="00E16521">
      <w:pPr>
        <w:pStyle w:val="ListParagraph"/>
        <w:numPr>
          <w:ilvl w:val="2"/>
          <w:numId w:val="5"/>
        </w:numPr>
        <w:spacing w:line="276" w:lineRule="auto"/>
        <w:ind w:left="720" w:hanging="360"/>
        <w:rPr>
          <w:rFonts w:ascii="Calibri" w:eastAsia="Aptos" w:hAnsi="Calibri" w:cs="Calibri"/>
        </w:rPr>
      </w:pPr>
      <w:r w:rsidRPr="00372C6B">
        <w:rPr>
          <w:rFonts w:ascii="Calibri" w:eastAsia="Aptos" w:hAnsi="Calibri" w:cs="Calibri"/>
        </w:rPr>
        <w:t>Conventional generation did not regulate voltage as expected.</w:t>
      </w:r>
    </w:p>
    <w:p w14:paraId="0764442A" w14:textId="77777777" w:rsidR="00E16521" w:rsidRPr="00372C6B" w:rsidRDefault="00E16521">
      <w:pPr>
        <w:pStyle w:val="ListParagraph"/>
        <w:numPr>
          <w:ilvl w:val="0"/>
          <w:numId w:val="20"/>
        </w:numPr>
        <w:spacing w:line="276" w:lineRule="auto"/>
        <w:rPr>
          <w:rFonts w:ascii="Calibri" w:eastAsia="Aptos" w:hAnsi="Calibri" w:cs="Calibri"/>
        </w:rPr>
      </w:pPr>
      <w:r w:rsidRPr="00372C6B">
        <w:rPr>
          <w:rFonts w:ascii="Calibri" w:eastAsia="Aptos" w:hAnsi="Calibri" w:cs="Calibri"/>
        </w:rPr>
        <w:t>Note that that type of generation was less than 30% of the overall generation</w:t>
      </w:r>
    </w:p>
    <w:p w14:paraId="27C822E5" w14:textId="1983D6C2" w:rsidR="00E16521" w:rsidRPr="00372C6B" w:rsidRDefault="00E16521" w:rsidP="00E16521">
      <w:pPr>
        <w:pStyle w:val="ListParagraph"/>
        <w:numPr>
          <w:ilvl w:val="2"/>
          <w:numId w:val="5"/>
        </w:numPr>
        <w:spacing w:line="276" w:lineRule="auto"/>
        <w:ind w:left="720" w:hanging="360"/>
        <w:rPr>
          <w:rFonts w:ascii="Calibri" w:eastAsia="Aptos" w:hAnsi="Calibri" w:cs="Calibri"/>
        </w:rPr>
      </w:pPr>
      <w:r w:rsidRPr="00372C6B">
        <w:rPr>
          <w:rFonts w:ascii="Calibri" w:eastAsia="Aptos" w:hAnsi="Calibri" w:cs="Calibri"/>
        </w:rPr>
        <w:t>As frequency declined due to imbalance between load and generation, load shedding was initiated. However, result if load shedding was further increase in voltage levels.</w:t>
      </w:r>
    </w:p>
    <w:p w14:paraId="75F2AE14" w14:textId="77777777" w:rsidR="00E16521" w:rsidRPr="00372C6B" w:rsidRDefault="00E16521" w:rsidP="008C08FE">
      <w:pPr>
        <w:spacing w:line="276" w:lineRule="auto"/>
        <w:rPr>
          <w:rFonts w:ascii="Calibri" w:eastAsia="Aptos" w:hAnsi="Calibri" w:cs="Calibri"/>
        </w:rPr>
      </w:pPr>
    </w:p>
    <w:p w14:paraId="6EBD295B" w14:textId="77777777" w:rsidR="0066474A" w:rsidRPr="00372C6B" w:rsidRDefault="0066474A" w:rsidP="0066474A">
      <w:pPr>
        <w:spacing w:line="276" w:lineRule="auto"/>
        <w:rPr>
          <w:rFonts w:ascii="Calibri" w:eastAsia="Aptos" w:hAnsi="Calibri" w:cs="Calibri"/>
        </w:rPr>
      </w:pPr>
      <w:r w:rsidRPr="00372C6B">
        <w:rPr>
          <w:rFonts w:ascii="Calibri" w:hAnsi="Calibri" w:cs="Calibri"/>
          <w:noProof/>
        </w:rPr>
        <w:drawing>
          <wp:inline distT="0" distB="0" distL="0" distR="0" wp14:anchorId="18D18350" wp14:editId="38A75BB2">
            <wp:extent cx="5384887" cy="1198286"/>
            <wp:effectExtent l="57150" t="19050" r="63500" b="97155"/>
            <wp:docPr id="6" name="Picture 5">
              <a:extLst xmlns:a="http://schemas.openxmlformats.org/drawingml/2006/main">
                <a:ext uri="{FF2B5EF4-FFF2-40B4-BE49-F238E27FC236}">
                  <a16:creationId xmlns:a16="http://schemas.microsoft.com/office/drawing/2014/main" id="{FD340595-C996-9CBA-DD9B-A0A6334E13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D340595-C996-9CBA-DD9B-A0A6334E1377}"/>
                        </a:ext>
                      </a:extLst>
                    </pic:cNvPr>
                    <pic:cNvPicPr>
                      <a:picLocks noChangeAspect="1"/>
                    </pic:cNvPicPr>
                  </pic:nvPicPr>
                  <pic:blipFill>
                    <a:blip r:embed="rId33"/>
                    <a:stretch>
                      <a:fillRect/>
                    </a:stretch>
                  </pic:blipFill>
                  <pic:spPr>
                    <a:xfrm>
                      <a:off x="0" y="0"/>
                      <a:ext cx="5384887" cy="1198286"/>
                    </a:xfrm>
                    <a:prstGeom prst="rect">
                      <a:avLst/>
                    </a:prstGeom>
                    <a:effectLst>
                      <a:outerShdw blurRad="50800" dist="38100" dir="5400000" algn="t" rotWithShape="0">
                        <a:prstClr val="black">
                          <a:alpha val="40000"/>
                        </a:prstClr>
                      </a:outerShdw>
                    </a:effectLst>
                  </pic:spPr>
                </pic:pic>
              </a:graphicData>
            </a:graphic>
          </wp:inline>
        </w:drawing>
      </w:r>
    </w:p>
    <w:p w14:paraId="69E888B5" w14:textId="75F6210F" w:rsidR="0066474A" w:rsidRPr="00865262" w:rsidRDefault="00865262" w:rsidP="00865262">
      <w:pPr>
        <w:pStyle w:val="Caption"/>
      </w:pPr>
      <w:bookmarkStart w:id="25" w:name="_Ref234704391"/>
      <w:bookmarkStart w:id="26" w:name="_Toc242906001"/>
      <w:bookmarkStart w:id="27" w:name="_Toc242913559"/>
      <w:r>
        <w:t xml:space="preserve">Figure </w:t>
      </w:r>
      <w:r>
        <w:fldChar w:fldCharType="begin"/>
      </w:r>
      <w:r>
        <w:instrText xml:space="preserve"> SEQ Figure \* ARABIC </w:instrText>
      </w:r>
      <w:r>
        <w:fldChar w:fldCharType="separate"/>
      </w:r>
      <w:r>
        <w:rPr>
          <w:noProof/>
        </w:rPr>
        <w:t>2</w:t>
      </w:r>
      <w:r>
        <w:rPr>
          <w:noProof/>
        </w:rPr>
        <w:fldChar w:fldCharType="end"/>
      </w:r>
      <w:bookmarkEnd w:id="25"/>
      <w:r>
        <w:t>.</w:t>
      </w:r>
      <w:r w:rsidR="0066474A" w:rsidRPr="00865262">
        <w:t xml:space="preserve"> System frequency before and after the trip at Granada.</w:t>
      </w:r>
      <w:bookmarkEnd w:id="26"/>
      <w:bookmarkEnd w:id="27"/>
    </w:p>
    <w:p w14:paraId="66607A45" w14:textId="77777777" w:rsidR="00564596" w:rsidRPr="00372C6B" w:rsidRDefault="00564596" w:rsidP="006803B2">
      <w:pPr>
        <w:spacing w:before="240" w:line="276" w:lineRule="auto"/>
        <w:rPr>
          <w:rFonts w:ascii="Calibri" w:eastAsia="Aptos" w:hAnsi="Calibri" w:cs="Calibri"/>
          <w:b/>
          <w:bCs/>
        </w:rPr>
      </w:pPr>
      <w:r w:rsidRPr="00372C6B">
        <w:rPr>
          <w:rFonts w:ascii="Calibri" w:eastAsia="Aptos" w:hAnsi="Calibri" w:cs="Calibri"/>
          <w:b/>
          <w:bCs/>
        </w:rPr>
        <w:t>Consequences</w:t>
      </w:r>
    </w:p>
    <w:p w14:paraId="2420D83D" w14:textId="152B5A24" w:rsidR="00564596" w:rsidRPr="00372C6B" w:rsidRDefault="00812A1F" w:rsidP="008C08FE">
      <w:pPr>
        <w:spacing w:line="276" w:lineRule="auto"/>
        <w:rPr>
          <w:rFonts w:ascii="Calibri" w:eastAsia="Aptos" w:hAnsi="Calibri" w:cs="Calibri"/>
        </w:rPr>
      </w:pPr>
      <w:r w:rsidRPr="00DB063B">
        <w:rPr>
          <w:rFonts w:ascii="Calibri" w:eastAsia="Aptos" w:hAnsi="Calibri" w:cs="Calibri"/>
        </w:rPr>
        <w:t>5</w:t>
      </w:r>
      <w:r w:rsidR="00D12635" w:rsidRPr="00DB063B">
        <w:rPr>
          <w:rFonts w:ascii="Calibri" w:eastAsia="Aptos" w:hAnsi="Calibri" w:cs="Calibri"/>
        </w:rPr>
        <w:t>0</w:t>
      </w:r>
      <w:r w:rsidRPr="00DB063B">
        <w:rPr>
          <w:rFonts w:ascii="Calibri" w:eastAsia="Aptos" w:hAnsi="Calibri" w:cs="Calibri"/>
        </w:rPr>
        <w:t>,000,000 to 60,000,000</w:t>
      </w:r>
      <w:r w:rsidRPr="0013229C">
        <w:rPr>
          <w:rFonts w:ascii="Calibri" w:eastAsia="Aptos" w:hAnsi="Calibri" w:cs="Calibri"/>
        </w:rPr>
        <w:t xml:space="preserve"> people</w:t>
      </w:r>
      <w:r w:rsidRPr="00372C6B">
        <w:rPr>
          <w:rFonts w:ascii="Calibri" w:eastAsia="Aptos" w:hAnsi="Calibri" w:cs="Calibri"/>
        </w:rPr>
        <w:t xml:space="preserve"> were affected. Over 31,000 MW were lost.</w:t>
      </w:r>
    </w:p>
    <w:p w14:paraId="314DD5E6" w14:textId="77777777" w:rsidR="00564596" w:rsidRPr="00372C6B" w:rsidRDefault="00564596" w:rsidP="00564596">
      <w:pPr>
        <w:spacing w:before="160" w:line="276" w:lineRule="auto"/>
        <w:rPr>
          <w:rFonts w:ascii="Calibri" w:eastAsia="Aptos" w:hAnsi="Calibri" w:cs="Calibri"/>
          <w:b/>
          <w:bCs/>
        </w:rPr>
      </w:pPr>
      <w:r w:rsidRPr="00372C6B">
        <w:rPr>
          <w:rFonts w:ascii="Calibri" w:eastAsia="Aptos" w:hAnsi="Calibri" w:cs="Calibri"/>
          <w:b/>
          <w:bCs/>
        </w:rPr>
        <w:t>Conclusions and Recommendations</w:t>
      </w:r>
    </w:p>
    <w:p w14:paraId="24A771CC" w14:textId="099FE93F" w:rsidR="00564596" w:rsidRPr="00372C6B" w:rsidRDefault="00BE455C" w:rsidP="008C08FE">
      <w:pPr>
        <w:spacing w:line="276" w:lineRule="auto"/>
        <w:rPr>
          <w:rFonts w:ascii="Calibri" w:eastAsia="Aptos" w:hAnsi="Calibri" w:cs="Calibri"/>
        </w:rPr>
      </w:pPr>
      <w:r w:rsidRPr="00372C6B">
        <w:rPr>
          <w:rFonts w:ascii="Calibri" w:eastAsia="Aptos" w:hAnsi="Calibri" w:cs="Calibri"/>
        </w:rPr>
        <w:t>ENTSO-E engaged an expert panel which provided a report in April 2026, including very detailed studies and set of detailed recommendations. The Expert Panel issued 21 recommendations: 11 directly linked to identified root causes, and 10 developed from investigation insights that may benefit system actors but are not directly linked to the root causes.</w:t>
      </w:r>
    </w:p>
    <w:p w14:paraId="5A4E98B3" w14:textId="462D0E4E" w:rsidR="00564596" w:rsidRPr="00372C6B" w:rsidRDefault="00D34E56" w:rsidP="008C08FE">
      <w:pPr>
        <w:spacing w:line="276" w:lineRule="auto"/>
        <w:rPr>
          <w:rFonts w:ascii="Calibri" w:eastAsia="Aptos" w:hAnsi="Calibri" w:cs="Calibri"/>
        </w:rPr>
      </w:pPr>
      <w:r w:rsidRPr="00372C6B">
        <w:rPr>
          <w:rFonts w:ascii="Calibri" w:eastAsia="Aptos" w:hAnsi="Calibri" w:cs="Calibri"/>
        </w:rPr>
        <w:t>One of the recommendations is expanding wide-area monitoring systems by deploying PMUs, with a goal of installing at least one PMU per transmission substation.</w:t>
      </w:r>
    </w:p>
    <w:p w14:paraId="12AE7494" w14:textId="59090510" w:rsidR="006D7158" w:rsidRPr="00372C6B" w:rsidRDefault="006D7158" w:rsidP="008C08FE">
      <w:pPr>
        <w:spacing w:line="276" w:lineRule="auto"/>
        <w:rPr>
          <w:rFonts w:ascii="Calibri" w:eastAsia="Aptos" w:hAnsi="Calibri" w:cs="Calibri"/>
        </w:rPr>
      </w:pPr>
      <w:r w:rsidRPr="00372C6B">
        <w:rPr>
          <w:rFonts w:ascii="Calibri" w:eastAsia="Aptos" w:hAnsi="Calibri" w:cs="Calibri"/>
        </w:rPr>
        <w:t>References:</w:t>
      </w:r>
    </w:p>
    <w:p w14:paraId="4FBD334D" w14:textId="08E9CC17" w:rsidR="006D7158" w:rsidRPr="00372C6B" w:rsidRDefault="006D7158" w:rsidP="006C1546">
      <w:pPr>
        <w:spacing w:line="276" w:lineRule="auto"/>
        <w:ind w:left="360" w:hanging="360"/>
        <w:rPr>
          <w:rFonts w:ascii="Calibri" w:eastAsia="Aptos" w:hAnsi="Calibri" w:cs="Calibri"/>
        </w:rPr>
      </w:pPr>
      <w:r w:rsidRPr="00372C6B">
        <w:rPr>
          <w:rFonts w:ascii="Calibri" w:eastAsia="Aptos" w:hAnsi="Calibri" w:cs="Calibri"/>
        </w:rPr>
        <w:t>[1]</w:t>
      </w:r>
      <w:r w:rsidRPr="00372C6B">
        <w:rPr>
          <w:rFonts w:ascii="Calibri" w:eastAsia="Aptos" w:hAnsi="Calibri" w:cs="Calibri"/>
        </w:rPr>
        <w:tab/>
        <w:t>Red Eléctrica de España (REE) and ENTSO-E preliminary reports on the April 28, 2025 Iberian Blackout.</w:t>
      </w:r>
    </w:p>
    <w:p w14:paraId="1F9DEDC6" w14:textId="233A9D30" w:rsidR="006D7158" w:rsidRPr="00372C6B" w:rsidRDefault="006D7158" w:rsidP="006C1546">
      <w:pPr>
        <w:spacing w:line="276" w:lineRule="auto"/>
        <w:ind w:left="360" w:hanging="360"/>
        <w:rPr>
          <w:rFonts w:ascii="Calibri" w:eastAsia="Aptos" w:hAnsi="Calibri" w:cs="Calibri"/>
        </w:rPr>
      </w:pPr>
      <w:r w:rsidRPr="00372C6B">
        <w:rPr>
          <w:rFonts w:ascii="Calibri" w:eastAsia="Aptos" w:hAnsi="Calibri" w:cs="Calibri"/>
        </w:rPr>
        <w:lastRenderedPageBreak/>
        <w:t>[2]</w:t>
      </w:r>
      <w:r w:rsidRPr="00372C6B">
        <w:rPr>
          <w:rFonts w:ascii="Calibri" w:eastAsia="Aptos" w:hAnsi="Calibri" w:cs="Calibri"/>
        </w:rPr>
        <w:tab/>
        <w:t>Grid Incident in Spain and Portugal on April 28, 2025 — Expert Panel Final Report, March 2026. ENTSO-E. https://www.entsoe.eu/publications/blackout/28-april-2025-iberian-blackout/</w:t>
      </w:r>
    </w:p>
    <w:p w14:paraId="7A75158D" w14:textId="77777777" w:rsidR="00E16521" w:rsidRPr="00372C6B" w:rsidRDefault="00E16521" w:rsidP="008C08FE">
      <w:pPr>
        <w:spacing w:line="276" w:lineRule="auto"/>
        <w:rPr>
          <w:rFonts w:ascii="Calibri" w:eastAsia="Aptos" w:hAnsi="Calibri" w:cs="Calibri"/>
        </w:rPr>
      </w:pPr>
    </w:p>
    <w:p w14:paraId="1989A39F" w14:textId="64C7FFC8" w:rsidR="00BC315C" w:rsidRDefault="003A1AA3" w:rsidP="00E41D6E">
      <w:pPr>
        <w:pStyle w:val="Heading3"/>
        <w:rPr>
          <w:rFonts w:cstheme="minorBidi"/>
        </w:rPr>
      </w:pPr>
      <w:r>
        <w:rPr>
          <w:rFonts w:ascii="Calibri" w:hAnsi="Calibri" w:cs="Calibri"/>
        </w:rPr>
        <w:t>7</w:t>
      </w:r>
      <w:r w:rsidR="00E41D6E" w:rsidRPr="00E41D6E">
        <w:rPr>
          <w:rFonts w:ascii="Calibri" w:hAnsi="Calibri" w:cs="Calibri"/>
        </w:rPr>
        <w:t>.3.2  South Australian Blackout – 2016</w:t>
      </w:r>
    </w:p>
    <w:p w14:paraId="4E29FD50" w14:textId="77777777" w:rsidR="00AD1B5A" w:rsidRPr="00372C6B" w:rsidRDefault="00AD1B5A" w:rsidP="00AD1B5A">
      <w:pPr>
        <w:spacing w:before="240" w:line="276" w:lineRule="auto"/>
        <w:rPr>
          <w:rFonts w:ascii="Calibri" w:eastAsia="Aptos" w:hAnsi="Calibri" w:cs="Calibri"/>
          <w:b/>
          <w:bCs/>
        </w:rPr>
      </w:pPr>
      <w:r w:rsidRPr="00372C6B">
        <w:rPr>
          <w:rFonts w:ascii="Calibri" w:eastAsia="Aptos" w:hAnsi="Calibri" w:cs="Calibri"/>
          <w:b/>
          <w:bCs/>
        </w:rPr>
        <w:t>Event Type</w:t>
      </w:r>
    </w:p>
    <w:p w14:paraId="45E4C524" w14:textId="31A9AD24" w:rsidR="00AD1B5A" w:rsidRPr="00372C6B" w:rsidRDefault="00AD1B5A" w:rsidP="00AD1B5A">
      <w:pPr>
        <w:spacing w:before="240" w:line="276" w:lineRule="auto"/>
        <w:rPr>
          <w:rFonts w:ascii="Calibri" w:eastAsia="Aptos" w:hAnsi="Calibri" w:cs="Calibri"/>
        </w:rPr>
      </w:pPr>
      <w:r w:rsidRPr="00372C6B">
        <w:rPr>
          <w:rFonts w:ascii="Calibri" w:eastAsia="Aptos" w:hAnsi="Calibri" w:cs="Calibri"/>
        </w:rPr>
        <w:t>Cascading outage, initiated by extreme weather.</w:t>
      </w:r>
    </w:p>
    <w:p w14:paraId="003505DB" w14:textId="5247CDEC" w:rsidR="00AF77BB" w:rsidRPr="00372C6B" w:rsidRDefault="0054429E" w:rsidP="00AF77BB">
      <w:pPr>
        <w:spacing w:before="240" w:line="276" w:lineRule="auto"/>
        <w:rPr>
          <w:rFonts w:ascii="Calibri" w:eastAsia="Aptos" w:hAnsi="Calibri" w:cs="Calibri"/>
          <w:b/>
          <w:bCs/>
        </w:rPr>
      </w:pPr>
      <w:r w:rsidRPr="00372C6B">
        <w:rPr>
          <w:rFonts w:ascii="Calibri" w:eastAsia="Aptos" w:hAnsi="Calibri" w:cs="Calibri"/>
          <w:b/>
          <w:bCs/>
        </w:rPr>
        <w:t>Event</w:t>
      </w:r>
      <w:r w:rsidR="00AF77BB" w:rsidRPr="00372C6B">
        <w:rPr>
          <w:rFonts w:ascii="Calibri" w:eastAsia="Aptos" w:hAnsi="Calibri" w:cs="Calibri"/>
          <w:b/>
          <w:bCs/>
        </w:rPr>
        <w:t xml:space="preserve"> Description</w:t>
      </w:r>
    </w:p>
    <w:p w14:paraId="632A425C" w14:textId="7E0D1E3A" w:rsidR="003A13F0" w:rsidRPr="00372C6B" w:rsidRDefault="00FB4A7F" w:rsidP="008C08FE">
      <w:pPr>
        <w:spacing w:line="276" w:lineRule="auto"/>
        <w:rPr>
          <w:rFonts w:ascii="Calibri" w:eastAsia="Aptos" w:hAnsi="Calibri" w:cs="Calibri"/>
        </w:rPr>
      </w:pPr>
      <w:r w:rsidRPr="00372C6B">
        <w:rPr>
          <w:rFonts w:ascii="Calibri" w:eastAsia="Aptos" w:hAnsi="Calibri" w:cs="Calibri"/>
        </w:rPr>
        <w:t>On September 28, 2016, severe thunderstorms, including tornadoes and extreme winds, damaged multiple 275 kV transmission lines in South Australia. The resulting voltage disturbances caused several wind farms to reduce output or disconnect after reaching their programmed fault ride-through limits. The sudden loss of wind generation led to increased power imports over the Heywood Interconnector from Victoria. When the interconnector exceeded its protection limits, it disconnected, electrically isolating South Australia from the National Electricity Market. With insufficient local generation to maintain system frequency, the entire South Australian power system collapsed, resulting in a statewide blackout</w:t>
      </w:r>
    </w:p>
    <w:p w14:paraId="437CA1E7" w14:textId="77777777" w:rsidR="00AF77BB" w:rsidRPr="00372C6B" w:rsidRDefault="00AF77BB" w:rsidP="00AF77BB">
      <w:pPr>
        <w:spacing w:before="240" w:line="276" w:lineRule="auto"/>
        <w:rPr>
          <w:rFonts w:ascii="Calibri" w:eastAsia="Aptos" w:hAnsi="Calibri" w:cs="Calibri"/>
          <w:b/>
          <w:bCs/>
        </w:rPr>
      </w:pPr>
      <w:r w:rsidRPr="00372C6B">
        <w:rPr>
          <w:rFonts w:ascii="Calibri" w:eastAsia="Aptos" w:hAnsi="Calibri" w:cs="Calibri"/>
          <w:b/>
          <w:bCs/>
        </w:rPr>
        <w:t>Consequences</w:t>
      </w:r>
    </w:p>
    <w:p w14:paraId="135BDBE0" w14:textId="095780CE" w:rsidR="00FB4A7F" w:rsidRPr="00372C6B" w:rsidRDefault="00AF77BB" w:rsidP="008C08FE">
      <w:pPr>
        <w:spacing w:line="276" w:lineRule="auto"/>
        <w:rPr>
          <w:rFonts w:ascii="Calibri" w:eastAsia="Aptos" w:hAnsi="Calibri" w:cs="Calibri"/>
        </w:rPr>
      </w:pPr>
      <w:r w:rsidRPr="00372C6B">
        <w:rPr>
          <w:rFonts w:ascii="Calibri" w:eastAsia="Aptos" w:hAnsi="Calibri" w:cs="Calibri"/>
        </w:rPr>
        <w:t>The blackout interrupted electricity supply to approximately 850,000 customers across South Australia.</w:t>
      </w:r>
    </w:p>
    <w:p w14:paraId="6036DF75" w14:textId="77777777" w:rsidR="00AF77BB" w:rsidRPr="00372C6B" w:rsidRDefault="00AF77BB" w:rsidP="00AF77BB">
      <w:pPr>
        <w:spacing w:before="160" w:line="276" w:lineRule="auto"/>
        <w:rPr>
          <w:rFonts w:ascii="Calibri" w:eastAsia="Aptos" w:hAnsi="Calibri" w:cs="Calibri"/>
          <w:b/>
          <w:bCs/>
        </w:rPr>
      </w:pPr>
      <w:r w:rsidRPr="00372C6B">
        <w:rPr>
          <w:rFonts w:ascii="Calibri" w:eastAsia="Aptos" w:hAnsi="Calibri" w:cs="Calibri"/>
          <w:b/>
          <w:bCs/>
        </w:rPr>
        <w:t>Conclusions and Recommendations</w:t>
      </w:r>
    </w:p>
    <w:p w14:paraId="265605CD" w14:textId="38CBB687" w:rsidR="00AF77BB" w:rsidRDefault="00D342A1" w:rsidP="008C08FE">
      <w:pPr>
        <w:spacing w:line="276" w:lineRule="auto"/>
        <w:rPr>
          <w:rFonts w:ascii="Calibri" w:eastAsia="Aptos" w:hAnsi="Calibri" w:cs="Calibri"/>
        </w:rPr>
      </w:pPr>
      <w:r w:rsidRPr="00372C6B">
        <w:rPr>
          <w:rFonts w:ascii="Calibri" w:eastAsia="Aptos" w:hAnsi="Calibri" w:cs="Calibri"/>
        </w:rPr>
        <w:t>The investigation concluded that the blackout was initiated by extreme weather, rather than by renewable generation alone. However, the event exposed vulnerabilities in the settings of wind farm protection systems, system security assessments, and contingency planning for multiple transmission failures. The AEMO recommended improving generator ride-through capability, enhancing transmission system resilience, strengthening system security standards, increasing visibility of generator control settings, and revising operational practices to better account for credible multiple contingencies. Subsequent reforms also increased requirements for frequency control, system strength, and fast frequency response to improve the resilience of the National Electricity Market.</w:t>
      </w:r>
    </w:p>
    <w:p w14:paraId="597188F4" w14:textId="77777777" w:rsidR="00CA458D" w:rsidRPr="00CA458D" w:rsidRDefault="00CA458D" w:rsidP="00CA458D">
      <w:pPr>
        <w:spacing w:line="276" w:lineRule="auto"/>
        <w:rPr>
          <w:rFonts w:ascii="Calibri" w:eastAsia="Aptos" w:hAnsi="Calibri" w:cs="Calibri"/>
          <w:lang w:val="en-AU"/>
        </w:rPr>
      </w:pPr>
      <w:r w:rsidRPr="00CA458D">
        <w:rPr>
          <w:rFonts w:ascii="Calibri" w:eastAsia="Aptos" w:hAnsi="Calibri" w:cs="Calibri"/>
        </w:rPr>
        <w:t>Following the event, reforms have been implemented to help improve management of high-impact low-probability events</w:t>
      </w:r>
      <w:r>
        <w:rPr>
          <w:rFonts w:ascii="Calibri" w:eastAsia="Aptos" w:hAnsi="Calibri" w:cs="Calibri"/>
        </w:rPr>
        <w:t>, i</w:t>
      </w:r>
      <w:r w:rsidRPr="00CA458D">
        <w:rPr>
          <w:rFonts w:ascii="Calibri" w:eastAsia="Aptos" w:hAnsi="Calibri" w:cs="Calibri"/>
        </w:rPr>
        <w:t>n particular new rules relating to management of Abnormal Conditions, as well as the introduction of the General Power System Risk Review</w:t>
      </w:r>
      <w:r>
        <w:rPr>
          <w:rFonts w:ascii="Calibri" w:eastAsia="Aptos" w:hAnsi="Calibri" w:cs="Calibri"/>
        </w:rPr>
        <w:t xml:space="preserve">. Details are </w:t>
      </w:r>
      <w:r>
        <w:rPr>
          <w:rFonts w:ascii="Calibri" w:eastAsia="Aptos" w:hAnsi="Calibri" w:cs="Calibri"/>
        </w:rPr>
        <w:lastRenderedPageBreak/>
        <w:t xml:space="preserve">available at </w:t>
      </w:r>
      <w:hyperlink r:id="rId34" w:history="1">
        <w:r w:rsidRPr="00CA458D">
          <w:rPr>
            <w:rStyle w:val="Hyperlink"/>
            <w:rFonts w:ascii="Calibri" w:eastAsia="Aptos" w:hAnsi="Calibri" w:cs="Calibri"/>
            <w:lang w:val="en-AU"/>
          </w:rPr>
          <w:t>https://www.aemo.com.au/energy-systems/electricity/national-electricity-market-nem/system-operations/general-power-system-risk-review</w:t>
        </w:r>
      </w:hyperlink>
    </w:p>
    <w:p w14:paraId="7E593C2F" w14:textId="739FEC7A" w:rsidR="00CA458D" w:rsidRPr="00372C6B" w:rsidRDefault="00CA458D" w:rsidP="008C08FE">
      <w:pPr>
        <w:spacing w:line="276" w:lineRule="auto"/>
        <w:rPr>
          <w:rFonts w:ascii="Calibri" w:eastAsia="Aptos" w:hAnsi="Calibri" w:cs="Calibri"/>
        </w:rPr>
      </w:pPr>
    </w:p>
    <w:p w14:paraId="38E62FB2" w14:textId="7AB54926" w:rsidR="00B01FB5" w:rsidRPr="00934F04" w:rsidRDefault="004E761B" w:rsidP="008C08FE">
      <w:pPr>
        <w:spacing w:line="276" w:lineRule="auto"/>
        <w:rPr>
          <w:rFonts w:ascii="Calibri" w:eastAsia="Aptos" w:hAnsi="Calibri" w:cs="Calibri"/>
          <w:b/>
          <w:bCs/>
        </w:rPr>
      </w:pPr>
      <w:r w:rsidRPr="00934F04">
        <w:rPr>
          <w:rFonts w:ascii="Calibri" w:eastAsia="Aptos" w:hAnsi="Calibri" w:cs="Calibri"/>
          <w:b/>
          <w:bCs/>
        </w:rPr>
        <w:t>Reference:</w:t>
      </w:r>
    </w:p>
    <w:p w14:paraId="279D2CB7" w14:textId="244B7484" w:rsidR="00D342A1" w:rsidRPr="00372C6B" w:rsidRDefault="00B01FB5" w:rsidP="008C08FE">
      <w:pPr>
        <w:spacing w:line="276" w:lineRule="auto"/>
        <w:rPr>
          <w:rFonts w:ascii="Calibri" w:eastAsia="Aptos" w:hAnsi="Calibri" w:cs="Calibri"/>
        </w:rPr>
      </w:pPr>
      <w:r w:rsidRPr="00372C6B">
        <w:rPr>
          <w:rFonts w:ascii="Calibri" w:hAnsi="Calibri" w:cs="Calibri"/>
        </w:rPr>
        <w:t>Report “</w:t>
      </w:r>
      <w:r w:rsidR="00D342A1" w:rsidRPr="00372C6B">
        <w:rPr>
          <w:rFonts w:ascii="Calibri" w:hAnsi="Calibri" w:cs="Calibri"/>
        </w:rPr>
        <w:t>Black System 28</w:t>
      </w:r>
      <w:r w:rsidRPr="00372C6B">
        <w:rPr>
          <w:rFonts w:ascii="Calibri" w:hAnsi="Calibri" w:cs="Calibri"/>
        </w:rPr>
        <w:t xml:space="preserve"> South Australia, 28</w:t>
      </w:r>
      <w:r w:rsidR="00D342A1" w:rsidRPr="00372C6B">
        <w:rPr>
          <w:rFonts w:ascii="Calibri" w:hAnsi="Calibri" w:cs="Calibri"/>
        </w:rPr>
        <w:t xml:space="preserve"> September 2016</w:t>
      </w:r>
      <w:r w:rsidRPr="00372C6B">
        <w:rPr>
          <w:rFonts w:ascii="Calibri" w:hAnsi="Calibri" w:cs="Calibri"/>
        </w:rPr>
        <w:t xml:space="preserve">”, </w:t>
      </w:r>
      <w:hyperlink r:id="rId35" w:tooltip="AEMO" w:history="1">
        <w:r w:rsidR="00D342A1" w:rsidRPr="00372C6B">
          <w:rPr>
            <w:rFonts w:ascii="Calibri" w:hAnsi="Calibri" w:cs="Calibri"/>
          </w:rPr>
          <w:t>AEMO</w:t>
        </w:r>
      </w:hyperlink>
      <w:r w:rsidRPr="00372C6B">
        <w:rPr>
          <w:rFonts w:ascii="Calibri" w:eastAsia="Aptos" w:hAnsi="Calibri" w:cs="Calibri"/>
        </w:rPr>
        <w:t>,</w:t>
      </w:r>
      <w:r w:rsidR="00D342A1" w:rsidRPr="00372C6B">
        <w:rPr>
          <w:rFonts w:ascii="Calibri" w:eastAsia="Aptos" w:hAnsi="Calibri" w:cs="Calibri"/>
        </w:rPr>
        <w:t xml:space="preserve"> </w:t>
      </w:r>
      <w:r w:rsidRPr="00372C6B">
        <w:rPr>
          <w:rFonts w:ascii="Calibri" w:eastAsia="Aptos" w:hAnsi="Calibri" w:cs="Calibri"/>
        </w:rPr>
        <w:t xml:space="preserve">Published: </w:t>
      </w:r>
      <w:r w:rsidR="00D342A1" w:rsidRPr="00372C6B">
        <w:rPr>
          <w:rFonts w:ascii="Calibri" w:eastAsia="Aptos" w:hAnsi="Calibri" w:cs="Calibri"/>
        </w:rPr>
        <w:t>March 2017</w:t>
      </w:r>
      <w:r w:rsidRPr="00372C6B">
        <w:rPr>
          <w:rFonts w:ascii="Calibri" w:eastAsia="Aptos" w:hAnsi="Calibri" w:cs="Calibri"/>
        </w:rPr>
        <w:t xml:space="preserve">, </w:t>
      </w:r>
      <w:hyperlink r:id="rId36" w:history="1">
        <w:r w:rsidRPr="00372C6B">
          <w:rPr>
            <w:rStyle w:val="Hyperlink"/>
            <w:rFonts w:ascii="Calibri" w:eastAsia="Aptos" w:hAnsi="Calibri" w:cs="Calibri"/>
          </w:rPr>
          <w:t>https://www.aemo.com.au/-/media/Files/Electricity/NEM/Market_Notices_and_Events/Power_System_Incident_Reports/2017/Integrated-Final-Report-SA-Black-System-28-September-2016.pdf</w:t>
        </w:r>
      </w:hyperlink>
    </w:p>
    <w:p w14:paraId="48B642D3" w14:textId="77777777" w:rsidR="00B01FB5" w:rsidRPr="00372C6B" w:rsidRDefault="00B01FB5" w:rsidP="008C08FE">
      <w:pPr>
        <w:spacing w:line="276" w:lineRule="auto"/>
        <w:rPr>
          <w:rFonts w:ascii="Calibri" w:eastAsia="Aptos" w:hAnsi="Calibri" w:cs="Calibri"/>
        </w:rPr>
      </w:pPr>
    </w:p>
    <w:p w14:paraId="64B8125F" w14:textId="6168D52C" w:rsidR="00BC315C" w:rsidRDefault="003A1AA3" w:rsidP="003707CD">
      <w:pPr>
        <w:pStyle w:val="Heading3"/>
        <w:rPr>
          <w:rFonts w:cstheme="minorBidi"/>
        </w:rPr>
      </w:pPr>
      <w:r>
        <w:rPr>
          <w:rFonts w:ascii="Calibri" w:hAnsi="Calibri" w:cs="Calibri"/>
        </w:rPr>
        <w:t>7</w:t>
      </w:r>
      <w:r w:rsidR="003707CD" w:rsidRPr="003707CD">
        <w:rPr>
          <w:rFonts w:ascii="Calibri" w:hAnsi="Calibri" w:cs="Calibri"/>
        </w:rPr>
        <w:t>.3.3  Indian Blackout – 2012</w:t>
      </w:r>
    </w:p>
    <w:p w14:paraId="3118380E" w14:textId="77777777" w:rsidR="00AD1B5A" w:rsidRPr="00372C6B" w:rsidRDefault="00AD1B5A" w:rsidP="00AD1B5A">
      <w:pPr>
        <w:spacing w:before="240" w:line="276" w:lineRule="auto"/>
        <w:rPr>
          <w:rFonts w:ascii="Calibri" w:eastAsia="Aptos" w:hAnsi="Calibri" w:cs="Calibri"/>
          <w:b/>
          <w:bCs/>
        </w:rPr>
      </w:pPr>
      <w:r w:rsidRPr="00372C6B">
        <w:rPr>
          <w:rFonts w:ascii="Calibri" w:eastAsia="Aptos" w:hAnsi="Calibri" w:cs="Calibri"/>
          <w:b/>
          <w:bCs/>
        </w:rPr>
        <w:t>Event Type</w:t>
      </w:r>
    </w:p>
    <w:p w14:paraId="092B47EE" w14:textId="77777777" w:rsidR="00AD1B5A" w:rsidRPr="00372C6B" w:rsidRDefault="00AD1B5A" w:rsidP="00AD1B5A">
      <w:pPr>
        <w:spacing w:before="240" w:line="276" w:lineRule="auto"/>
        <w:rPr>
          <w:rFonts w:ascii="Calibri" w:eastAsia="Aptos" w:hAnsi="Calibri" w:cs="Calibri"/>
        </w:rPr>
      </w:pPr>
      <w:r w:rsidRPr="00372C6B">
        <w:rPr>
          <w:rFonts w:ascii="Calibri" w:eastAsia="Aptos" w:hAnsi="Calibri" w:cs="Calibri"/>
        </w:rPr>
        <w:t>Cascading outage.</w:t>
      </w:r>
    </w:p>
    <w:p w14:paraId="2B0F7793" w14:textId="77777777" w:rsidR="0054429E" w:rsidRPr="00372C6B" w:rsidRDefault="0054429E" w:rsidP="0054429E">
      <w:pPr>
        <w:spacing w:before="240" w:line="276" w:lineRule="auto"/>
        <w:rPr>
          <w:rFonts w:ascii="Calibri" w:eastAsia="Aptos" w:hAnsi="Calibri" w:cs="Calibri"/>
          <w:b/>
          <w:bCs/>
        </w:rPr>
      </w:pPr>
      <w:r w:rsidRPr="00372C6B">
        <w:rPr>
          <w:rFonts w:ascii="Calibri" w:eastAsia="Aptos" w:hAnsi="Calibri" w:cs="Calibri"/>
          <w:b/>
          <w:bCs/>
        </w:rPr>
        <w:t>Brief Event Description</w:t>
      </w:r>
    </w:p>
    <w:p w14:paraId="02DF7994" w14:textId="43DFA934" w:rsidR="0054429E" w:rsidRPr="00372C6B" w:rsidRDefault="0054429E" w:rsidP="0054429E">
      <w:pPr>
        <w:spacing w:before="240" w:line="276" w:lineRule="auto"/>
        <w:rPr>
          <w:rFonts w:ascii="Calibri" w:eastAsia="Aptos" w:hAnsi="Calibri" w:cs="Calibri"/>
        </w:rPr>
      </w:pPr>
      <w:r w:rsidRPr="00372C6B">
        <w:rPr>
          <w:rFonts w:ascii="Calibri" w:eastAsia="Aptos" w:hAnsi="Calibri" w:cs="Calibri"/>
        </w:rPr>
        <w:t>On July 30 and 31, 2012, India's Northern, Eastern, and North-Eastern regional power grids experienced two consecutive cascading failures. The first disturbance on July 30 caused the collapse of the Northern Grid following the tripping of several heavily loaded transmission lines. Despite partial restoration, a second and larger disturbance occurred the next day, when overloaded inter-regional transmission corridors and inadequate compliance with grid operating limits triggered a cascading sequence of line and generator outages. The event resulted in the collapse of three interconnected regional grids, making it one of the largest power system failures in history.</w:t>
      </w:r>
    </w:p>
    <w:p w14:paraId="421783B9" w14:textId="77777777" w:rsidR="00556889" w:rsidRPr="00372C6B" w:rsidRDefault="00556889" w:rsidP="00556889">
      <w:pPr>
        <w:spacing w:before="240" w:line="276" w:lineRule="auto"/>
        <w:rPr>
          <w:rFonts w:ascii="Calibri" w:eastAsia="Aptos" w:hAnsi="Calibri" w:cs="Calibri"/>
          <w:b/>
          <w:bCs/>
        </w:rPr>
      </w:pPr>
      <w:r w:rsidRPr="00372C6B">
        <w:rPr>
          <w:rFonts w:ascii="Calibri" w:eastAsia="Aptos" w:hAnsi="Calibri" w:cs="Calibri"/>
          <w:b/>
          <w:bCs/>
        </w:rPr>
        <w:t>Consequences</w:t>
      </w:r>
    </w:p>
    <w:p w14:paraId="0F45A681" w14:textId="77777777" w:rsidR="00D34D01" w:rsidRPr="00372C6B" w:rsidRDefault="00D34D01" w:rsidP="00D34D01">
      <w:pPr>
        <w:rPr>
          <w:rFonts w:ascii="Calibri" w:hAnsi="Calibri" w:cs="Calibri"/>
        </w:rPr>
      </w:pPr>
      <w:r w:rsidRPr="00372C6B">
        <w:rPr>
          <w:rFonts w:ascii="Calibri" w:hAnsi="Calibri" w:cs="Calibri"/>
        </w:rPr>
        <w:t>The blackout affected more than 600 million people across 22 Indian states and territories. The outage disrupted transportation, industry, water supply, hospitals, and telecommunications, with restoration of the affected grids completed over several hours.</w:t>
      </w:r>
    </w:p>
    <w:p w14:paraId="7C29BBC3" w14:textId="77777777" w:rsidR="00556889" w:rsidRPr="00372C6B" w:rsidRDefault="00556889" w:rsidP="00556889">
      <w:pPr>
        <w:spacing w:before="160" w:line="276" w:lineRule="auto"/>
        <w:rPr>
          <w:rFonts w:ascii="Calibri" w:eastAsia="Aptos" w:hAnsi="Calibri" w:cs="Calibri"/>
          <w:b/>
          <w:bCs/>
        </w:rPr>
      </w:pPr>
      <w:r w:rsidRPr="00372C6B">
        <w:rPr>
          <w:rFonts w:ascii="Calibri" w:eastAsia="Aptos" w:hAnsi="Calibri" w:cs="Calibri"/>
          <w:b/>
          <w:bCs/>
        </w:rPr>
        <w:t>Conclusions and Recommendations</w:t>
      </w:r>
    </w:p>
    <w:p w14:paraId="684CC530" w14:textId="77777777" w:rsidR="00D34D01" w:rsidRPr="00372C6B" w:rsidRDefault="00D34D01" w:rsidP="00D34D01">
      <w:pPr>
        <w:rPr>
          <w:rFonts w:ascii="Calibri" w:hAnsi="Calibri" w:cs="Calibri"/>
        </w:rPr>
      </w:pPr>
      <w:r w:rsidRPr="00372C6B">
        <w:rPr>
          <w:rFonts w:ascii="Calibri" w:hAnsi="Calibri" w:cs="Calibri"/>
        </w:rPr>
        <w:t xml:space="preserve">The investigation concluded that the blackout resulted from a combination of heavily loaded transmission corridors, repeated violations of grid operating limits, inadequate real-time monitoring and enforcement of operating procedures, insufficient system protection, and weak operational coordination among system operators and utilities. The initiating events were </w:t>
      </w:r>
      <w:r w:rsidRPr="00372C6B">
        <w:rPr>
          <w:rFonts w:ascii="Calibri" w:hAnsi="Calibri" w:cs="Calibri"/>
        </w:rPr>
        <w:lastRenderedPageBreak/>
        <w:t>aggravated by excessive power withdrawals by several states during periods of high demand and limited transmission capacity.</w:t>
      </w:r>
    </w:p>
    <w:p w14:paraId="6435B9B9" w14:textId="3F5516CB" w:rsidR="00D34D01" w:rsidRDefault="00D34D01" w:rsidP="00D34D01">
      <w:pPr>
        <w:rPr>
          <w:rFonts w:ascii="Calibri" w:hAnsi="Calibri" w:cs="Calibri"/>
        </w:rPr>
      </w:pPr>
      <w:r w:rsidRPr="00372C6B">
        <w:rPr>
          <w:rFonts w:ascii="Calibri" w:hAnsi="Calibri" w:cs="Calibri"/>
        </w:rPr>
        <w:t>Recommendations included enforcement of operating limits, expanding transmission infrastructure, improving real-time monitoring and wide-area measurement systems, enhancing under-frequency and system protection schemes, strengthening operational coordination among regional and national load dispatch centers, and accelerating the implementation of a unified national grid with improved reliability standards.</w:t>
      </w:r>
    </w:p>
    <w:p w14:paraId="49ED6DDF" w14:textId="77777777" w:rsidR="00AC55DB" w:rsidRDefault="00AC55DB" w:rsidP="00D34D01">
      <w:pPr>
        <w:rPr>
          <w:rFonts w:ascii="Calibri" w:hAnsi="Calibri" w:cs="Calibri"/>
        </w:rPr>
      </w:pPr>
    </w:p>
    <w:p w14:paraId="580D4943" w14:textId="23C2EA16" w:rsidR="008B5C61" w:rsidRPr="003A1AA3" w:rsidRDefault="003A1AA3" w:rsidP="003A1AA3">
      <w:pPr>
        <w:pStyle w:val="Heading2"/>
        <w:numPr>
          <w:ilvl w:val="0"/>
          <w:numId w:val="0"/>
        </w:numPr>
        <w:spacing w:line="276" w:lineRule="auto"/>
        <w:rPr>
          <w:rFonts w:ascii="Calibri" w:eastAsia="Aptos Display" w:hAnsi="Calibri" w:cs="Calibri"/>
        </w:rPr>
      </w:pPr>
      <w:r>
        <w:rPr>
          <w:rFonts w:ascii="Calibri" w:eastAsia="Aptos Display" w:hAnsi="Calibri" w:cs="Calibri"/>
        </w:rPr>
        <w:t>7</w:t>
      </w:r>
      <w:r w:rsidR="00126A26" w:rsidRPr="003A1AA3">
        <w:rPr>
          <w:rFonts w:ascii="Calibri" w:eastAsia="Aptos Display" w:hAnsi="Calibri" w:cs="Calibri"/>
        </w:rPr>
        <w:t xml:space="preserve">.4         </w:t>
      </w:r>
      <w:r w:rsidR="00BC315C" w:rsidRPr="003A1AA3">
        <w:rPr>
          <w:rFonts w:ascii="Calibri" w:eastAsia="Aptos Display" w:hAnsi="Calibri" w:cs="Calibri"/>
        </w:rPr>
        <w:t>Notable Events in North America</w:t>
      </w:r>
    </w:p>
    <w:p w14:paraId="02A331FE" w14:textId="1FBA9BA1" w:rsidR="00AC55DB" w:rsidRDefault="002453DA" w:rsidP="002453DA">
      <w:pPr>
        <w:pStyle w:val="Heading3"/>
        <w:rPr>
          <w:rFonts w:ascii="Calibri" w:hAnsi="Calibri" w:cs="Calibri"/>
        </w:rPr>
      </w:pPr>
      <w:r>
        <w:rPr>
          <w:rFonts w:ascii="Calibri" w:hAnsi="Calibri" w:cs="Calibri"/>
        </w:rPr>
        <w:t xml:space="preserve">7.4.1  IBR Control Interactions leading to Oscillatory Events </w:t>
      </w:r>
    </w:p>
    <w:p w14:paraId="7D7CF2FE" w14:textId="038E98D0" w:rsidR="00D34D01" w:rsidRPr="002453DA" w:rsidRDefault="002453DA" w:rsidP="008C08FE">
      <w:pPr>
        <w:rPr>
          <w:rFonts w:ascii="Calibri" w:hAnsi="Calibri" w:cs="Calibri"/>
          <w:b/>
          <w:bCs/>
        </w:rPr>
      </w:pPr>
      <w:r w:rsidRPr="002453DA">
        <w:rPr>
          <w:rFonts w:ascii="Calibri" w:hAnsi="Calibri" w:cs="Calibri"/>
          <w:b/>
          <w:bCs/>
        </w:rPr>
        <w:t>Brief Event Description</w:t>
      </w:r>
    </w:p>
    <w:p w14:paraId="1244724A" w14:textId="77777777" w:rsidR="00230DA5" w:rsidRDefault="002453DA" w:rsidP="002453DA">
      <w:pPr>
        <w:rPr>
          <w:rFonts w:ascii="Calibri" w:hAnsi="Calibri" w:cs="Calibri"/>
          <w:b/>
          <w:bCs/>
        </w:rPr>
      </w:pPr>
      <w:r w:rsidRPr="002453DA">
        <w:rPr>
          <w:rFonts w:ascii="Calibri" w:hAnsi="Calibri" w:cs="Calibri"/>
          <w:b/>
          <w:bCs/>
        </w:rPr>
        <w:t>Event 1</w:t>
      </w:r>
      <w:r>
        <w:rPr>
          <w:rFonts w:ascii="Calibri" w:hAnsi="Calibri" w:cs="Calibri"/>
          <w:b/>
          <w:bCs/>
        </w:rPr>
        <w:t xml:space="preserve"> </w:t>
      </w:r>
    </w:p>
    <w:p w14:paraId="1010B60B" w14:textId="220AC56C" w:rsidR="002453DA" w:rsidRDefault="002453DA" w:rsidP="002453DA">
      <w:pPr>
        <w:rPr>
          <w:rFonts w:ascii="Calibri" w:hAnsi="Calibri" w:cs="Calibri"/>
        </w:rPr>
      </w:pPr>
      <w:r w:rsidRPr="002453DA">
        <w:rPr>
          <w:rFonts w:ascii="Calibri" w:hAnsi="Calibri" w:cs="Calibri"/>
        </w:rPr>
        <w:t>During commissioning, a hybrid BESS/PV facility received a +200 MW discharge command. Before reaching the target, the plant entered sustained oscillations caused by invalid metering compensation calculations resulting from a divide-by-zero condition (NaN values). The controller interpreted erroneous MW values that exceeded actual plant capability</w:t>
      </w:r>
      <w:r>
        <w:rPr>
          <w:rFonts w:ascii="Calibri" w:hAnsi="Calibri" w:cs="Calibri"/>
        </w:rPr>
        <w:t>.</w:t>
      </w:r>
    </w:p>
    <w:p w14:paraId="771DB3F8" w14:textId="34C39D24" w:rsidR="002453DA" w:rsidRDefault="002453DA" w:rsidP="002453DA">
      <w:pPr>
        <w:rPr>
          <w:rFonts w:ascii="Calibri" w:hAnsi="Calibri" w:cs="Calibri"/>
          <w:b/>
          <w:bCs/>
        </w:rPr>
      </w:pPr>
      <w:r w:rsidRPr="002453DA">
        <w:rPr>
          <w:rFonts w:ascii="Calibri" w:hAnsi="Calibri" w:cs="Calibri"/>
          <w:b/>
          <w:bCs/>
        </w:rPr>
        <w:t>Event 2</w:t>
      </w:r>
    </w:p>
    <w:p w14:paraId="696F8FA1" w14:textId="77777777" w:rsidR="002453DA" w:rsidRDefault="002453DA" w:rsidP="002453DA">
      <w:pPr>
        <w:rPr>
          <w:rFonts w:ascii="Calibri" w:hAnsi="Calibri" w:cs="Calibri"/>
        </w:rPr>
      </w:pPr>
      <w:r w:rsidRPr="002453DA">
        <w:rPr>
          <w:rFonts w:ascii="Calibri" w:hAnsi="Calibri" w:cs="Calibri"/>
        </w:rPr>
        <w:t>Six weeks later, the BESS was dispatched from 0 MW to 80 MW charging. Following a control system update and inverter restart, some inverters returned in an unexpected operating mode, creating delayed responses. Inconsistencies in command interpretation among three GSUs contributed to oscillatory behavior.</w:t>
      </w:r>
    </w:p>
    <w:p w14:paraId="3930B9E0" w14:textId="0DC41379" w:rsidR="002453DA" w:rsidRPr="002453DA" w:rsidRDefault="002453DA" w:rsidP="002453DA">
      <w:pPr>
        <w:rPr>
          <w:rFonts w:ascii="Calibri" w:hAnsi="Calibri" w:cs="Calibri"/>
          <w:b/>
          <w:bCs/>
        </w:rPr>
      </w:pPr>
      <w:r w:rsidRPr="002453DA">
        <w:rPr>
          <w:rFonts w:ascii="Calibri" w:hAnsi="Calibri" w:cs="Calibri"/>
          <w:b/>
          <w:bCs/>
        </w:rPr>
        <w:t>Event 3</w:t>
      </w:r>
    </w:p>
    <w:p w14:paraId="75E8B98B" w14:textId="77777777" w:rsidR="002453DA" w:rsidRPr="002453DA" w:rsidRDefault="002453DA" w:rsidP="002453DA">
      <w:pPr>
        <w:rPr>
          <w:rFonts w:ascii="Calibri" w:hAnsi="Calibri" w:cs="Calibri"/>
        </w:rPr>
      </w:pPr>
      <w:r w:rsidRPr="002453DA">
        <w:rPr>
          <w:rFonts w:ascii="Calibri" w:hAnsi="Calibri" w:cs="Calibri"/>
        </w:rPr>
        <w:t>Two days after Event 2, the BESS received a 37 MW discharge command while an adjacent PV facility injected approximately 50 MW. Incorrect meter-selection logic forced a 0 MW solar signal into the controller, causing solar output to be interpreted as battery output. This created a feedback loop that repeatedly switched measurement sources and induced oscillations.</w:t>
      </w:r>
    </w:p>
    <w:p w14:paraId="2030BAAC" w14:textId="0D78ADE2" w:rsidR="002453DA" w:rsidRPr="002453DA" w:rsidRDefault="002453DA" w:rsidP="002453DA">
      <w:pPr>
        <w:rPr>
          <w:rFonts w:ascii="Calibri" w:hAnsi="Calibri" w:cs="Calibri"/>
          <w:b/>
          <w:bCs/>
        </w:rPr>
      </w:pPr>
      <w:r w:rsidRPr="002453DA">
        <w:rPr>
          <w:rFonts w:ascii="Calibri" w:hAnsi="Calibri" w:cs="Calibri"/>
          <w:b/>
          <w:bCs/>
        </w:rPr>
        <w:t>Consequences</w:t>
      </w:r>
    </w:p>
    <w:p w14:paraId="261EEDD6" w14:textId="77777777" w:rsidR="002453DA" w:rsidRDefault="002453DA" w:rsidP="002453DA">
      <w:pPr>
        <w:rPr>
          <w:rFonts w:ascii="Calibri" w:hAnsi="Calibri" w:cs="Calibri"/>
        </w:rPr>
      </w:pPr>
      <w:r w:rsidRPr="002453DA">
        <w:rPr>
          <w:rFonts w:ascii="Calibri" w:hAnsi="Calibri" w:cs="Calibri"/>
          <w:b/>
          <w:bCs/>
        </w:rPr>
        <w:t>Event 1</w:t>
      </w:r>
    </w:p>
    <w:p w14:paraId="6A6B90C3" w14:textId="2A76AEDC" w:rsidR="002453DA" w:rsidRDefault="002453DA" w:rsidP="002453DA">
      <w:pPr>
        <w:rPr>
          <w:rFonts w:ascii="Calibri" w:hAnsi="Calibri" w:cs="Calibri"/>
        </w:rPr>
      </w:pPr>
      <w:r w:rsidRPr="002453DA">
        <w:rPr>
          <w:rFonts w:ascii="Calibri" w:hAnsi="Calibri" w:cs="Calibri"/>
        </w:rPr>
        <w:t>Oscillations lasted about 17 minutes, with swings from +275 MW discharge to -138 MW charge. The oscillation was significant enough to trigger interconnection-wide oscillation alarms and reliability concerns. Oscillations stopped when the controller was switched to local mode.</w:t>
      </w:r>
    </w:p>
    <w:p w14:paraId="3B3E7DCF" w14:textId="536F8A66" w:rsidR="002453DA" w:rsidRPr="002453DA" w:rsidRDefault="002453DA" w:rsidP="002453DA">
      <w:pPr>
        <w:rPr>
          <w:rFonts w:ascii="Calibri" w:hAnsi="Calibri" w:cs="Calibri"/>
          <w:b/>
          <w:bCs/>
        </w:rPr>
      </w:pPr>
      <w:r w:rsidRPr="002453DA">
        <w:rPr>
          <w:rFonts w:ascii="Calibri" w:hAnsi="Calibri" w:cs="Calibri"/>
          <w:b/>
          <w:bCs/>
        </w:rPr>
        <w:lastRenderedPageBreak/>
        <w:t>Event 2</w:t>
      </w:r>
    </w:p>
    <w:p w14:paraId="08F293A4" w14:textId="77777777" w:rsidR="002453DA" w:rsidRPr="002453DA" w:rsidRDefault="002453DA" w:rsidP="002453DA">
      <w:pPr>
        <w:rPr>
          <w:rFonts w:ascii="Calibri" w:hAnsi="Calibri" w:cs="Calibri"/>
        </w:rPr>
      </w:pPr>
      <w:r w:rsidRPr="002453DA">
        <w:rPr>
          <w:rFonts w:ascii="Calibri" w:hAnsi="Calibri" w:cs="Calibri"/>
        </w:rPr>
        <w:t>The battery oscillated between approximately -8 MW and -160 MW. Uneven responses among GSUs indicated control translation issues and increased operational instability during commissioning.</w:t>
      </w:r>
    </w:p>
    <w:p w14:paraId="372B1D36" w14:textId="10F5C5B9" w:rsidR="002453DA" w:rsidRPr="002453DA" w:rsidRDefault="002453DA" w:rsidP="002453DA">
      <w:pPr>
        <w:rPr>
          <w:rFonts w:ascii="Calibri" w:hAnsi="Calibri" w:cs="Calibri"/>
          <w:b/>
          <w:bCs/>
        </w:rPr>
      </w:pPr>
      <w:r w:rsidRPr="002453DA">
        <w:rPr>
          <w:rFonts w:ascii="Calibri" w:hAnsi="Calibri" w:cs="Calibri"/>
          <w:b/>
          <w:bCs/>
        </w:rPr>
        <w:t>Event 3</w:t>
      </w:r>
    </w:p>
    <w:p w14:paraId="5D8017D1" w14:textId="77777777" w:rsidR="002453DA" w:rsidRPr="002453DA" w:rsidRDefault="002453DA" w:rsidP="002453DA">
      <w:pPr>
        <w:rPr>
          <w:rFonts w:ascii="Calibri" w:hAnsi="Calibri" w:cs="Calibri"/>
        </w:rPr>
      </w:pPr>
      <w:r w:rsidRPr="002453DA">
        <w:rPr>
          <w:rFonts w:ascii="Calibri" w:hAnsi="Calibri" w:cs="Calibri"/>
        </w:rPr>
        <w:t>Plant output oscillated between approximately +85 MW and -40 MW. The controller repeatedly over-corrected because it believed the site was violating interconnection limits.</w:t>
      </w:r>
    </w:p>
    <w:p w14:paraId="46D375FB" w14:textId="77777777" w:rsidR="002453DA" w:rsidRPr="00372C6B" w:rsidRDefault="002453DA" w:rsidP="002453DA">
      <w:pPr>
        <w:spacing w:before="240" w:line="276" w:lineRule="auto"/>
        <w:rPr>
          <w:rFonts w:ascii="Calibri" w:eastAsia="Aptos" w:hAnsi="Calibri" w:cs="Calibri"/>
          <w:b/>
          <w:bCs/>
        </w:rPr>
      </w:pPr>
      <w:r w:rsidRPr="00372C6B">
        <w:rPr>
          <w:rFonts w:ascii="Calibri" w:eastAsia="Aptos" w:hAnsi="Calibri" w:cs="Calibri"/>
          <w:b/>
          <w:bCs/>
        </w:rPr>
        <w:t>Conclusions and Recommendations</w:t>
      </w:r>
    </w:p>
    <w:p w14:paraId="4809ADDC" w14:textId="712B855D" w:rsidR="00323A48" w:rsidRDefault="00323A48" w:rsidP="00323A48">
      <w:pPr>
        <w:rPr>
          <w:rFonts w:ascii="Calibri" w:hAnsi="Calibri" w:cs="Calibri"/>
        </w:rPr>
      </w:pPr>
      <w:r>
        <w:rPr>
          <w:rFonts w:ascii="Calibri" w:hAnsi="Calibri" w:cs="Calibri"/>
        </w:rPr>
        <w:t>The utility has outlined the following improvements that should be made;</w:t>
      </w:r>
    </w:p>
    <w:p w14:paraId="615C6079" w14:textId="77777777" w:rsidR="00323A48" w:rsidRDefault="00323A48" w:rsidP="00323A48">
      <w:r>
        <w:t>1.</w:t>
      </w:r>
      <w:r>
        <w:tab/>
        <w:t xml:space="preserve">Potential interconnection requirement to perform hardware in the loop (HIL) testing and either provide a report on the results (what gaps in the controller logic were found and how were they fixed) or provide an opportunity for the utility to witness the HIL testing. </w:t>
      </w:r>
    </w:p>
    <w:p w14:paraId="4EC88FD0" w14:textId="77777777" w:rsidR="00323A48" w:rsidRDefault="00323A48" w:rsidP="00323A48">
      <w:r>
        <w:t>2.</w:t>
      </w:r>
      <w:r>
        <w:tab/>
        <w:t xml:space="preserve">Establish requirements for commissioning test procedures and test reporting. </w:t>
      </w:r>
    </w:p>
    <w:p w14:paraId="6CAACCE0" w14:textId="77777777" w:rsidR="00323A48" w:rsidRDefault="00323A48" w:rsidP="00323A48">
      <w:r>
        <w:t>3.</w:t>
      </w:r>
      <w:r>
        <w:tab/>
        <w:t xml:space="preserve"> Control logic should be updated to not use NaN as a number and take appropriate action whenever data is unavailable. </w:t>
      </w:r>
    </w:p>
    <w:p w14:paraId="3F925BD5" w14:textId="77777777" w:rsidR="00323A48" w:rsidRDefault="00323A48" w:rsidP="00323A48">
      <w:r>
        <w:t>4.</w:t>
      </w:r>
      <w:r>
        <w:tab/>
        <w:t xml:space="preserve">The entity developed a unit manager role, where that individual became the main point of contact for a specific site. Any changes at that site are communicated with this individual. </w:t>
      </w:r>
    </w:p>
    <w:p w14:paraId="43C0F8A1" w14:textId="77777777" w:rsidR="00323A48" w:rsidRDefault="00323A48" w:rsidP="00323A48">
      <w:r>
        <w:t>5.</w:t>
      </w:r>
      <w:r>
        <w:tab/>
        <w:t xml:space="preserve">Requests have been communicated to IBR operators to develop apparent oscillation monitoring at their control center or directly on individual power plant controllers. </w:t>
      </w:r>
    </w:p>
    <w:p w14:paraId="2770C2A9" w14:textId="6401FBDA" w:rsidR="00323A48" w:rsidRDefault="00323A48" w:rsidP="00323A48">
      <w:r>
        <w:t>6.</w:t>
      </w:r>
      <w:r>
        <w:tab/>
        <w:t>Improvements to IBR controllers or other site changes that, whether considered to affect operation of the plant or not, need to be communicated to the BA for situational awareness.</w:t>
      </w:r>
    </w:p>
    <w:p w14:paraId="7D2FAF11" w14:textId="0682AE02" w:rsidR="00323A48" w:rsidRDefault="00323A48" w:rsidP="00323A48">
      <w:pPr>
        <w:rPr>
          <w:b/>
          <w:bCs/>
        </w:rPr>
      </w:pPr>
      <w:r w:rsidRPr="00323A48">
        <w:rPr>
          <w:b/>
          <w:bCs/>
        </w:rPr>
        <w:t>References</w:t>
      </w:r>
    </w:p>
    <w:p w14:paraId="446B6B3F" w14:textId="04E0F86C" w:rsidR="00323A48" w:rsidRPr="00727C73" w:rsidRDefault="00727C73" w:rsidP="00323A48">
      <w:r w:rsidRPr="00727C73">
        <w:t>NERC</w:t>
      </w:r>
      <w:r>
        <w:t>, “Lesson Learned IBR Control interactions and Oscillatory Events”, 2025</w:t>
      </w:r>
    </w:p>
    <w:p w14:paraId="4EB97793" w14:textId="5B5FE5B0" w:rsidR="00323A48" w:rsidRDefault="00323A48" w:rsidP="00323A48">
      <w:pPr>
        <w:pStyle w:val="Heading3"/>
      </w:pPr>
      <w:r>
        <w:t>7.4.2</w:t>
      </w:r>
      <w:r>
        <w:tab/>
        <w:t>Blue Cut Fire</w:t>
      </w:r>
      <w:r w:rsidR="00850FF9">
        <w:t xml:space="preserve"> </w:t>
      </w:r>
      <w:r w:rsidR="00230DA5">
        <w:t xml:space="preserve">- </w:t>
      </w:r>
      <w:r w:rsidR="00850FF9">
        <w:t>2016</w:t>
      </w:r>
    </w:p>
    <w:p w14:paraId="41C20483" w14:textId="77777777" w:rsidR="00230DA5" w:rsidRDefault="00320875" w:rsidP="00230DA5">
      <w:pPr>
        <w:rPr>
          <w:b/>
          <w:bCs/>
        </w:rPr>
      </w:pPr>
      <w:r w:rsidRPr="00320875">
        <w:rPr>
          <w:b/>
          <w:bCs/>
        </w:rPr>
        <w:t>Brief Event Description</w:t>
      </w:r>
    </w:p>
    <w:p w14:paraId="1B3AAD85" w14:textId="1A3015D3" w:rsidR="00320875" w:rsidRDefault="00320875" w:rsidP="00230DA5">
      <w:pPr>
        <w:rPr>
          <w:rFonts w:ascii="Segoe UI" w:eastAsia="Times New Roman" w:hAnsi="Segoe UI" w:cs="Segoe UI"/>
          <w:kern w:val="0"/>
          <w:sz w:val="21"/>
          <w:szCs w:val="21"/>
          <w14:ligatures w14:val="none"/>
        </w:rPr>
      </w:pPr>
      <w:r w:rsidRPr="00320875">
        <w:rPr>
          <w:rFonts w:ascii="Segoe UI" w:eastAsia="Times New Roman" w:hAnsi="Segoe UI" w:cs="Segoe UI"/>
          <w:kern w:val="0"/>
          <w:sz w:val="21"/>
          <w:szCs w:val="21"/>
          <w14:ligatures w14:val="none"/>
        </w:rPr>
        <w:t xml:space="preserve">During the disturbance, numerous solar PV inverters reported low-frequency trips (&lt;57 Hz) even though the actual system frequency only declined to approximately 59.86 Hz, which was well within </w:t>
      </w:r>
      <w:r w:rsidRPr="00320875">
        <w:rPr>
          <w:rFonts w:ascii="Segoe UI" w:eastAsia="Times New Roman" w:hAnsi="Segoe UI" w:cs="Segoe UI"/>
          <w:kern w:val="0"/>
          <w:sz w:val="21"/>
          <w:szCs w:val="21"/>
          <w14:ligatures w14:val="none"/>
        </w:rPr>
        <w:lastRenderedPageBreak/>
        <w:t>NERC ride-through requirements. Investigation revealed a large phase-angle jump (~26°) during fault inception and clearing. Inverter-level recordings showed distorted waveforms causing some inverters to calculate frequency incorrectly (~54.5 Hz). Some inverters also experienced transient overvoltage at inverter terminals that was not visible at the Point of Interconnection (POI).</w:t>
      </w:r>
    </w:p>
    <w:p w14:paraId="2D5BF4EC" w14:textId="77777777" w:rsidR="00320875" w:rsidRDefault="00320875" w:rsidP="00320875">
      <w:pPr>
        <w:spacing w:after="0" w:line="300" w:lineRule="atLeast"/>
        <w:rPr>
          <w:rFonts w:ascii="Segoe UI" w:eastAsia="Times New Roman" w:hAnsi="Segoe UI" w:cs="Segoe UI"/>
          <w:kern w:val="0"/>
          <w:sz w:val="21"/>
          <w:szCs w:val="21"/>
          <w14:ligatures w14:val="none"/>
        </w:rPr>
      </w:pPr>
    </w:p>
    <w:p w14:paraId="161AFFE6" w14:textId="1695AC20" w:rsidR="00320875" w:rsidRDefault="00320875" w:rsidP="00320875">
      <w:pPr>
        <w:spacing w:after="0" w:line="300" w:lineRule="atLeast"/>
        <w:rPr>
          <w:rFonts w:ascii="Segoe UI" w:eastAsia="Times New Roman" w:hAnsi="Segoe UI" w:cs="Segoe UI"/>
          <w:b/>
          <w:bCs/>
          <w:kern w:val="0"/>
          <w:sz w:val="21"/>
          <w:szCs w:val="21"/>
          <w14:ligatures w14:val="none"/>
        </w:rPr>
      </w:pPr>
      <w:r w:rsidRPr="00320875">
        <w:rPr>
          <w:rFonts w:ascii="Segoe UI" w:eastAsia="Times New Roman" w:hAnsi="Segoe UI" w:cs="Segoe UI"/>
          <w:b/>
          <w:bCs/>
          <w:kern w:val="0"/>
          <w:sz w:val="21"/>
          <w:szCs w:val="21"/>
          <w14:ligatures w14:val="none"/>
        </w:rPr>
        <w:t>Consequences</w:t>
      </w:r>
    </w:p>
    <w:p w14:paraId="6A90E8D9" w14:textId="77777777" w:rsidR="00230DA5" w:rsidRPr="00320875" w:rsidRDefault="00230DA5" w:rsidP="00320875">
      <w:pPr>
        <w:spacing w:after="0" w:line="300" w:lineRule="atLeast"/>
        <w:rPr>
          <w:rFonts w:ascii="Segoe UI" w:eastAsia="Times New Roman" w:hAnsi="Segoe UI" w:cs="Segoe UI"/>
          <w:b/>
          <w:bCs/>
          <w:kern w:val="0"/>
          <w:sz w:val="21"/>
          <w:szCs w:val="21"/>
          <w14:ligatures w14:val="none"/>
        </w:rPr>
      </w:pPr>
    </w:p>
    <w:p w14:paraId="316FE1EE" w14:textId="77777777" w:rsidR="00320875" w:rsidRDefault="00320875" w:rsidP="00320875">
      <w:pPr>
        <w:spacing w:after="0" w:line="300" w:lineRule="atLeast"/>
        <w:rPr>
          <w:rFonts w:ascii="Segoe UI" w:eastAsia="Times New Roman" w:hAnsi="Segoe UI" w:cs="Segoe UI"/>
          <w:kern w:val="0"/>
          <w:sz w:val="21"/>
          <w:szCs w:val="21"/>
          <w14:ligatures w14:val="none"/>
        </w:rPr>
      </w:pPr>
      <w:r w:rsidRPr="00320875">
        <w:rPr>
          <w:rFonts w:ascii="Segoe UI" w:eastAsia="Times New Roman" w:hAnsi="Segoe UI" w:cs="Segoe UI"/>
          <w:kern w:val="0"/>
          <w:sz w:val="21"/>
          <w:szCs w:val="21"/>
          <w14:ligatures w14:val="none"/>
        </w:rPr>
        <w:t>Significant numbers of solar PV inverters disconnected unnecessarily during a transmission fault, resulting in unexpected generation loss. POI recordings alone could not explain the inverter trips. Only inverter-level oscillography and fault records revealed the actual causes.</w:t>
      </w:r>
    </w:p>
    <w:p w14:paraId="1A4DDEA9" w14:textId="77777777" w:rsidR="00320875" w:rsidRDefault="00320875" w:rsidP="00320875">
      <w:pPr>
        <w:spacing w:after="0" w:line="300" w:lineRule="atLeast"/>
        <w:rPr>
          <w:rFonts w:ascii="Segoe UI" w:eastAsia="Times New Roman" w:hAnsi="Segoe UI" w:cs="Segoe UI"/>
          <w:kern w:val="0"/>
          <w:sz w:val="21"/>
          <w:szCs w:val="21"/>
          <w14:ligatures w14:val="none"/>
        </w:rPr>
      </w:pPr>
    </w:p>
    <w:p w14:paraId="1A42179E" w14:textId="48419248" w:rsidR="00320875" w:rsidRDefault="00320875" w:rsidP="00320875">
      <w:pPr>
        <w:spacing w:after="0" w:line="300" w:lineRule="atLeast"/>
        <w:rPr>
          <w:rFonts w:ascii="Segoe UI" w:eastAsia="Times New Roman" w:hAnsi="Segoe UI" w:cs="Segoe UI"/>
          <w:b/>
          <w:bCs/>
          <w:kern w:val="0"/>
          <w:sz w:val="21"/>
          <w:szCs w:val="21"/>
          <w14:ligatures w14:val="none"/>
        </w:rPr>
      </w:pPr>
      <w:r w:rsidRPr="00320875">
        <w:rPr>
          <w:rFonts w:ascii="Segoe UI" w:eastAsia="Times New Roman" w:hAnsi="Segoe UI" w:cs="Segoe UI"/>
          <w:b/>
          <w:bCs/>
          <w:kern w:val="0"/>
          <w:sz w:val="21"/>
          <w:szCs w:val="21"/>
          <w14:ligatures w14:val="none"/>
        </w:rPr>
        <w:t>Conclusions and Recommendations</w:t>
      </w:r>
    </w:p>
    <w:p w14:paraId="78950445" w14:textId="77777777" w:rsidR="00230DA5" w:rsidRPr="00320875" w:rsidRDefault="00230DA5" w:rsidP="00320875">
      <w:pPr>
        <w:spacing w:after="0" w:line="300" w:lineRule="atLeast"/>
        <w:rPr>
          <w:rFonts w:ascii="Segoe UI" w:eastAsia="Times New Roman" w:hAnsi="Segoe UI" w:cs="Segoe UI"/>
          <w:b/>
          <w:bCs/>
          <w:kern w:val="0"/>
          <w:sz w:val="21"/>
          <w:szCs w:val="21"/>
          <w14:ligatures w14:val="none"/>
        </w:rPr>
      </w:pPr>
    </w:p>
    <w:p w14:paraId="3B4D1680" w14:textId="77777777" w:rsidR="00320875" w:rsidRPr="00320875" w:rsidRDefault="00320875" w:rsidP="00320875">
      <w:pPr>
        <w:spacing w:after="0" w:line="300" w:lineRule="atLeast"/>
        <w:rPr>
          <w:rFonts w:ascii="Segoe UI" w:eastAsia="Times New Roman" w:hAnsi="Segoe UI" w:cs="Segoe UI"/>
          <w:kern w:val="0"/>
          <w:sz w:val="21"/>
          <w:szCs w:val="21"/>
          <w14:ligatures w14:val="none"/>
        </w:rPr>
      </w:pPr>
      <w:r w:rsidRPr="00320875">
        <w:rPr>
          <w:rFonts w:ascii="Segoe UI" w:eastAsia="Times New Roman" w:hAnsi="Segoe UI" w:cs="Segoe UI"/>
          <w:kern w:val="0"/>
          <w:sz w:val="21"/>
          <w:szCs w:val="21"/>
          <w14:ligatures w14:val="none"/>
        </w:rPr>
        <w:t>High-speed inverter-level disturbance data is essential for root-cause analysis. POI DFR and SER data alone are insufficient to explain inverter behavior. Disturbance monitoring should include inverter fault codes, oscillography, and waveform recordings to distinguish between actual grid conditions and inverter control/protection responses.</w:t>
      </w:r>
    </w:p>
    <w:p w14:paraId="5A9AD6C7" w14:textId="77777777" w:rsidR="00850FF9" w:rsidRDefault="00850FF9" w:rsidP="00850FF9"/>
    <w:p w14:paraId="6EFD381F" w14:textId="120E1F66" w:rsidR="00320875" w:rsidRPr="00320875" w:rsidRDefault="00320875" w:rsidP="00850FF9">
      <w:pPr>
        <w:rPr>
          <w:b/>
          <w:bCs/>
        </w:rPr>
      </w:pPr>
      <w:r w:rsidRPr="00320875">
        <w:rPr>
          <w:b/>
          <w:bCs/>
        </w:rPr>
        <w:t>References</w:t>
      </w:r>
    </w:p>
    <w:p w14:paraId="03D7907A" w14:textId="4F3A2E8E" w:rsidR="00320875" w:rsidRDefault="00320875" w:rsidP="00850FF9">
      <w:r>
        <w:t>NERC, “Recommended Disturbance Monitoring for Inverter-Based Resources”, 2020</w:t>
      </w:r>
    </w:p>
    <w:p w14:paraId="1589F22A" w14:textId="77777777" w:rsidR="00230DA5" w:rsidRDefault="00230DA5" w:rsidP="00850FF9"/>
    <w:p w14:paraId="0135ABF9" w14:textId="4C313019" w:rsidR="00320875" w:rsidRDefault="00320875" w:rsidP="00320875">
      <w:pPr>
        <w:pStyle w:val="Heading3"/>
      </w:pPr>
      <w:r w:rsidRPr="00230DA5">
        <w:rPr>
          <w:rFonts w:ascii="Calibri" w:hAnsi="Calibri" w:cs="Calibri"/>
        </w:rPr>
        <w:t>7.4.3</w:t>
      </w:r>
      <w:r w:rsidR="00230DA5" w:rsidRPr="00230DA5">
        <w:rPr>
          <w:rFonts w:ascii="Calibri" w:hAnsi="Calibri" w:cs="Calibri"/>
        </w:rPr>
        <w:t xml:space="preserve"> Canyon</w:t>
      </w:r>
      <w:r w:rsidR="00230DA5">
        <w:t xml:space="preserve"> 2 Fire - 2017</w:t>
      </w:r>
    </w:p>
    <w:p w14:paraId="592B395E" w14:textId="3373F064" w:rsidR="00320875" w:rsidRDefault="00230DA5" w:rsidP="00230DA5">
      <w:pPr>
        <w:spacing w:after="0" w:line="300" w:lineRule="atLeast"/>
        <w:rPr>
          <w:rFonts w:ascii="Segoe UI" w:eastAsia="Times New Roman" w:hAnsi="Segoe UI" w:cs="Segoe UI"/>
          <w:b/>
          <w:bCs/>
          <w:kern w:val="0"/>
          <w:sz w:val="21"/>
          <w:szCs w:val="21"/>
          <w14:ligatures w14:val="none"/>
        </w:rPr>
      </w:pPr>
      <w:r w:rsidRPr="00230DA5">
        <w:rPr>
          <w:rFonts w:ascii="Segoe UI" w:eastAsia="Times New Roman" w:hAnsi="Segoe UI" w:cs="Segoe UI"/>
          <w:b/>
          <w:bCs/>
          <w:kern w:val="0"/>
          <w:sz w:val="21"/>
          <w:szCs w:val="21"/>
          <w14:ligatures w14:val="none"/>
        </w:rPr>
        <w:t>Brief Description</w:t>
      </w:r>
    </w:p>
    <w:p w14:paraId="1060759F" w14:textId="77777777" w:rsidR="00230DA5" w:rsidRPr="00230DA5" w:rsidRDefault="00230DA5" w:rsidP="00230DA5">
      <w:pPr>
        <w:spacing w:after="0" w:line="300" w:lineRule="atLeast"/>
        <w:rPr>
          <w:rFonts w:ascii="Segoe UI" w:eastAsia="Times New Roman" w:hAnsi="Segoe UI" w:cs="Segoe UI"/>
          <w:b/>
          <w:bCs/>
          <w:kern w:val="0"/>
          <w:sz w:val="21"/>
          <w:szCs w:val="21"/>
          <w14:ligatures w14:val="none"/>
        </w:rPr>
      </w:pPr>
    </w:p>
    <w:p w14:paraId="766074E0" w14:textId="0A6FA71D" w:rsidR="00230DA5" w:rsidRDefault="00230DA5" w:rsidP="00230DA5">
      <w:pPr>
        <w:spacing w:after="0" w:line="300" w:lineRule="atLeast"/>
        <w:rPr>
          <w:rFonts w:ascii="Segoe UI" w:eastAsia="Times New Roman" w:hAnsi="Segoe UI" w:cs="Segoe UI"/>
          <w:kern w:val="0"/>
          <w:sz w:val="21"/>
          <w:szCs w:val="21"/>
          <w14:ligatures w14:val="none"/>
        </w:rPr>
      </w:pPr>
      <w:r w:rsidRPr="00230DA5">
        <w:rPr>
          <w:rFonts w:ascii="Segoe UI" w:eastAsia="Times New Roman" w:hAnsi="Segoe UI" w:cs="Segoe UI"/>
          <w:kern w:val="0"/>
          <w:sz w:val="21"/>
          <w:szCs w:val="21"/>
          <w14:ligatures w14:val="none"/>
        </w:rPr>
        <w:t xml:space="preserve">Multiple solar PV plants reported AC overvoltage trips during a transmission fault. Inverter-level oscillography showed sub-cycle transient overvoltages at inverter terminals that triggered protection. However, DFR recordings at the POI showed voltages remained below nominal and within the PRC-024-2 ride-through region. The overvoltage was only observable at inverter terminals and not at the POI. </w:t>
      </w:r>
    </w:p>
    <w:p w14:paraId="406DBEBD" w14:textId="77777777" w:rsidR="00230DA5" w:rsidRPr="00230DA5" w:rsidRDefault="00230DA5" w:rsidP="00230DA5">
      <w:pPr>
        <w:spacing w:after="0" w:line="300" w:lineRule="atLeast"/>
        <w:rPr>
          <w:rFonts w:ascii="Segoe UI" w:eastAsia="Times New Roman" w:hAnsi="Segoe UI" w:cs="Segoe UI"/>
          <w:kern w:val="0"/>
          <w:sz w:val="21"/>
          <w:szCs w:val="21"/>
          <w14:ligatures w14:val="none"/>
        </w:rPr>
      </w:pPr>
    </w:p>
    <w:p w14:paraId="3196F8C7" w14:textId="5E98E817" w:rsidR="00230DA5" w:rsidRDefault="00230DA5" w:rsidP="00230DA5">
      <w:pPr>
        <w:spacing w:after="0" w:line="300" w:lineRule="atLeast"/>
        <w:rPr>
          <w:rFonts w:ascii="Segoe UI" w:eastAsia="Times New Roman" w:hAnsi="Segoe UI" w:cs="Segoe UI"/>
          <w:b/>
          <w:bCs/>
          <w:kern w:val="0"/>
          <w:sz w:val="21"/>
          <w:szCs w:val="21"/>
          <w14:ligatures w14:val="none"/>
        </w:rPr>
      </w:pPr>
      <w:r w:rsidRPr="00230DA5">
        <w:rPr>
          <w:rFonts w:ascii="Segoe UI" w:eastAsia="Times New Roman" w:hAnsi="Segoe UI" w:cs="Segoe UI"/>
          <w:b/>
          <w:bCs/>
          <w:kern w:val="0"/>
          <w:sz w:val="21"/>
          <w:szCs w:val="21"/>
          <w14:ligatures w14:val="none"/>
        </w:rPr>
        <w:t>Consequences</w:t>
      </w:r>
    </w:p>
    <w:p w14:paraId="526EE40A" w14:textId="77777777" w:rsidR="00230DA5" w:rsidRPr="00230DA5" w:rsidRDefault="00230DA5" w:rsidP="00230DA5">
      <w:pPr>
        <w:spacing w:after="0" w:line="300" w:lineRule="atLeast"/>
        <w:rPr>
          <w:rFonts w:ascii="Segoe UI" w:eastAsia="Times New Roman" w:hAnsi="Segoe UI" w:cs="Segoe UI"/>
          <w:b/>
          <w:bCs/>
          <w:kern w:val="0"/>
          <w:sz w:val="21"/>
          <w:szCs w:val="21"/>
          <w14:ligatures w14:val="none"/>
        </w:rPr>
      </w:pPr>
    </w:p>
    <w:p w14:paraId="76521631" w14:textId="77777777" w:rsidR="00230DA5" w:rsidRDefault="00230DA5" w:rsidP="00230DA5">
      <w:pPr>
        <w:spacing w:after="0" w:line="300" w:lineRule="atLeast"/>
        <w:rPr>
          <w:rFonts w:ascii="Segoe UI" w:eastAsia="Times New Roman" w:hAnsi="Segoe UI" w:cs="Segoe UI"/>
          <w:kern w:val="0"/>
          <w:sz w:val="21"/>
          <w:szCs w:val="21"/>
          <w14:ligatures w14:val="none"/>
        </w:rPr>
      </w:pPr>
      <w:r w:rsidRPr="00230DA5">
        <w:rPr>
          <w:rFonts w:ascii="Segoe UI" w:eastAsia="Times New Roman" w:hAnsi="Segoe UI" w:cs="Segoe UI"/>
          <w:kern w:val="0"/>
          <w:sz w:val="21"/>
          <w:szCs w:val="21"/>
          <w14:ligatures w14:val="none"/>
        </w:rPr>
        <w:t>Large numbers of inverters tripped due to transient conditions not captured by transmission-level monitoring. Operators initially had limited visibility into the reasons for the generation loss because POI measurements did not indicate overvoltage conditions.</w:t>
      </w:r>
    </w:p>
    <w:p w14:paraId="722DB753" w14:textId="77777777" w:rsidR="00230DA5" w:rsidRDefault="00230DA5" w:rsidP="00230DA5">
      <w:pPr>
        <w:spacing w:after="0" w:line="300" w:lineRule="atLeast"/>
        <w:rPr>
          <w:rFonts w:ascii="Segoe UI" w:eastAsia="Times New Roman" w:hAnsi="Segoe UI" w:cs="Segoe UI"/>
          <w:kern w:val="0"/>
          <w:sz w:val="21"/>
          <w:szCs w:val="21"/>
          <w14:ligatures w14:val="none"/>
        </w:rPr>
      </w:pPr>
    </w:p>
    <w:p w14:paraId="26237466" w14:textId="77777777" w:rsidR="00230DA5" w:rsidRDefault="00230DA5" w:rsidP="00230DA5">
      <w:pPr>
        <w:spacing w:after="0" w:line="300" w:lineRule="atLeast"/>
        <w:rPr>
          <w:rFonts w:ascii="Segoe UI" w:eastAsia="Times New Roman" w:hAnsi="Segoe UI" w:cs="Segoe UI"/>
          <w:kern w:val="0"/>
          <w:sz w:val="21"/>
          <w:szCs w:val="21"/>
          <w14:ligatures w14:val="none"/>
        </w:rPr>
      </w:pPr>
    </w:p>
    <w:p w14:paraId="478F632C" w14:textId="77777777" w:rsidR="00230DA5" w:rsidRDefault="00230DA5" w:rsidP="00230DA5">
      <w:pPr>
        <w:spacing w:after="0" w:line="300" w:lineRule="atLeast"/>
        <w:rPr>
          <w:rFonts w:ascii="Segoe UI" w:eastAsia="Times New Roman" w:hAnsi="Segoe UI" w:cs="Segoe UI"/>
          <w:kern w:val="0"/>
          <w:sz w:val="21"/>
          <w:szCs w:val="21"/>
          <w14:ligatures w14:val="none"/>
        </w:rPr>
      </w:pPr>
    </w:p>
    <w:p w14:paraId="69F908B0" w14:textId="77777777" w:rsidR="00230DA5" w:rsidRPr="00230DA5" w:rsidRDefault="00230DA5" w:rsidP="00230DA5">
      <w:pPr>
        <w:spacing w:after="0" w:line="300" w:lineRule="atLeast"/>
        <w:rPr>
          <w:rFonts w:ascii="Segoe UI" w:eastAsia="Times New Roman" w:hAnsi="Segoe UI" w:cs="Segoe UI"/>
          <w:kern w:val="0"/>
          <w:sz w:val="21"/>
          <w:szCs w:val="21"/>
          <w14:ligatures w14:val="none"/>
        </w:rPr>
      </w:pPr>
    </w:p>
    <w:p w14:paraId="4D9B3B17" w14:textId="0419B6BF" w:rsidR="00230DA5" w:rsidRDefault="00230DA5" w:rsidP="00230DA5">
      <w:pPr>
        <w:spacing w:after="0" w:line="300" w:lineRule="atLeast"/>
        <w:rPr>
          <w:rFonts w:ascii="Segoe UI" w:eastAsia="Times New Roman" w:hAnsi="Segoe UI" w:cs="Segoe UI"/>
          <w:b/>
          <w:bCs/>
          <w:kern w:val="0"/>
          <w:sz w:val="21"/>
          <w:szCs w:val="21"/>
          <w14:ligatures w14:val="none"/>
        </w:rPr>
      </w:pPr>
      <w:r w:rsidRPr="00230DA5">
        <w:rPr>
          <w:rFonts w:ascii="Segoe UI" w:eastAsia="Times New Roman" w:hAnsi="Segoe UI" w:cs="Segoe UI"/>
          <w:b/>
          <w:bCs/>
          <w:kern w:val="0"/>
          <w:sz w:val="21"/>
          <w:szCs w:val="21"/>
          <w14:ligatures w14:val="none"/>
        </w:rPr>
        <w:lastRenderedPageBreak/>
        <w:t>Conclusions and Recommendations</w:t>
      </w:r>
    </w:p>
    <w:p w14:paraId="57576707" w14:textId="77777777" w:rsidR="00230DA5" w:rsidRPr="00230DA5" w:rsidRDefault="00230DA5" w:rsidP="00230DA5">
      <w:pPr>
        <w:spacing w:after="0" w:line="300" w:lineRule="atLeast"/>
        <w:rPr>
          <w:rFonts w:ascii="Segoe UI" w:eastAsia="Times New Roman" w:hAnsi="Segoe UI" w:cs="Segoe UI"/>
          <w:b/>
          <w:bCs/>
          <w:kern w:val="0"/>
          <w:sz w:val="21"/>
          <w:szCs w:val="21"/>
          <w14:ligatures w14:val="none"/>
        </w:rPr>
      </w:pPr>
    </w:p>
    <w:p w14:paraId="7F8B7F70" w14:textId="77777777" w:rsidR="00230DA5" w:rsidRPr="00230DA5" w:rsidRDefault="00230DA5" w:rsidP="00230DA5">
      <w:pPr>
        <w:spacing w:after="0" w:line="300" w:lineRule="atLeast"/>
        <w:rPr>
          <w:rFonts w:ascii="Segoe UI" w:eastAsia="Times New Roman" w:hAnsi="Segoe UI" w:cs="Segoe UI"/>
          <w:kern w:val="0"/>
          <w:sz w:val="21"/>
          <w:szCs w:val="21"/>
          <w14:ligatures w14:val="none"/>
        </w:rPr>
      </w:pPr>
      <w:r w:rsidRPr="00230DA5">
        <w:rPr>
          <w:rFonts w:ascii="Segoe UI" w:eastAsia="Times New Roman" w:hAnsi="Segoe UI" w:cs="Segoe UI"/>
          <w:kern w:val="0"/>
          <w:sz w:val="21"/>
          <w:szCs w:val="21"/>
          <w14:ligatures w14:val="none"/>
        </w:rPr>
        <w:t>Inverter-level data collection is necessary to understand and validate inverter tripping behavior. Relying solely on SCADA, SER, or POI DFR data can lead to incomplete or incorrect conclusions regarding disturbance performance. More comprehensive disturbance monitoring requirements should be implemented for inverter-based resources.</w:t>
      </w:r>
    </w:p>
    <w:p w14:paraId="5226A472" w14:textId="77777777" w:rsidR="00230DA5" w:rsidRDefault="00230DA5" w:rsidP="003A1AA3">
      <w:pPr>
        <w:pStyle w:val="Heading2"/>
        <w:numPr>
          <w:ilvl w:val="0"/>
          <w:numId w:val="0"/>
        </w:numPr>
        <w:spacing w:line="276" w:lineRule="auto"/>
        <w:rPr>
          <w:rFonts w:ascii="Calibri" w:eastAsia="Aptos Display" w:hAnsi="Calibri" w:cs="Calibri"/>
        </w:rPr>
      </w:pPr>
    </w:p>
    <w:p w14:paraId="3E10FC87" w14:textId="2C65A2E3" w:rsidR="008B5C61" w:rsidRPr="003A1AA3" w:rsidRDefault="003A1AA3" w:rsidP="003A1AA3">
      <w:pPr>
        <w:pStyle w:val="Heading2"/>
        <w:numPr>
          <w:ilvl w:val="0"/>
          <w:numId w:val="0"/>
        </w:numPr>
        <w:spacing w:line="276" w:lineRule="auto"/>
        <w:rPr>
          <w:rFonts w:ascii="Calibri" w:eastAsia="Aptos Display" w:hAnsi="Calibri" w:cs="Calibri"/>
        </w:rPr>
      </w:pPr>
      <w:r>
        <w:rPr>
          <w:rFonts w:ascii="Calibri" w:eastAsia="Aptos Display" w:hAnsi="Calibri" w:cs="Calibri"/>
        </w:rPr>
        <w:t>7</w:t>
      </w:r>
      <w:r w:rsidR="00A24EEC" w:rsidRPr="003A1AA3">
        <w:rPr>
          <w:rFonts w:ascii="Calibri" w:eastAsia="Aptos Display" w:hAnsi="Calibri" w:cs="Calibri"/>
        </w:rPr>
        <w:t xml:space="preserve">.5         </w:t>
      </w:r>
      <w:r w:rsidR="00BC315C" w:rsidRPr="003A1AA3">
        <w:rPr>
          <w:rFonts w:ascii="Calibri" w:eastAsia="Aptos Display" w:hAnsi="Calibri" w:cs="Calibri"/>
        </w:rPr>
        <w:t>Significant Recent Disturbances Outside of North America</w:t>
      </w:r>
    </w:p>
    <w:p w14:paraId="708438EA" w14:textId="7CA99272" w:rsidR="00BC315C" w:rsidRDefault="003A1AA3" w:rsidP="00F0308F">
      <w:pPr>
        <w:pStyle w:val="Heading3"/>
        <w:rPr>
          <w:rFonts w:cstheme="minorBidi"/>
        </w:rPr>
      </w:pPr>
      <w:r>
        <w:rPr>
          <w:rFonts w:ascii="Calibri" w:hAnsi="Calibri" w:cs="Calibri"/>
        </w:rPr>
        <w:t>7</w:t>
      </w:r>
      <w:r w:rsidR="00F0308F" w:rsidRPr="00F0308F">
        <w:rPr>
          <w:rFonts w:ascii="Calibri" w:hAnsi="Calibri" w:cs="Calibri"/>
        </w:rPr>
        <w:t>.5.1  West Murray 2020, Australia – 17-19 Hz Oscillations</w:t>
      </w:r>
    </w:p>
    <w:p w14:paraId="44C3E9D2" w14:textId="5E024970" w:rsidR="00FF6DCF" w:rsidRPr="00372C6B" w:rsidRDefault="00FF6DCF" w:rsidP="006803B2">
      <w:pPr>
        <w:spacing w:before="240" w:line="276" w:lineRule="auto"/>
        <w:rPr>
          <w:rFonts w:ascii="Calibri" w:eastAsia="Aptos" w:hAnsi="Calibri" w:cs="Calibri"/>
          <w:b/>
          <w:bCs/>
        </w:rPr>
      </w:pPr>
      <w:r w:rsidRPr="00372C6B">
        <w:rPr>
          <w:rFonts w:ascii="Calibri" w:eastAsia="Aptos" w:hAnsi="Calibri" w:cs="Calibri"/>
          <w:b/>
          <w:bCs/>
        </w:rPr>
        <w:t xml:space="preserve">Brief </w:t>
      </w:r>
      <w:r w:rsidR="0054429E" w:rsidRPr="00372C6B">
        <w:rPr>
          <w:rFonts w:ascii="Calibri" w:eastAsia="Aptos" w:hAnsi="Calibri" w:cs="Calibri"/>
          <w:b/>
          <w:bCs/>
        </w:rPr>
        <w:t xml:space="preserve">Event </w:t>
      </w:r>
      <w:r w:rsidRPr="00372C6B">
        <w:rPr>
          <w:rFonts w:ascii="Calibri" w:eastAsia="Aptos" w:hAnsi="Calibri" w:cs="Calibri"/>
          <w:b/>
          <w:bCs/>
        </w:rPr>
        <w:t>Description</w:t>
      </w:r>
    </w:p>
    <w:p w14:paraId="53D7224A" w14:textId="5109CBA5" w:rsidR="002453DA" w:rsidRPr="00372C6B" w:rsidRDefault="00FF6DCF" w:rsidP="00FF6DCF">
      <w:pPr>
        <w:spacing w:line="276" w:lineRule="auto"/>
        <w:rPr>
          <w:rFonts w:ascii="Calibri" w:eastAsia="Aptos" w:hAnsi="Calibri" w:cs="Calibri"/>
        </w:rPr>
      </w:pPr>
      <w:r w:rsidRPr="00372C6B">
        <w:rPr>
          <w:rFonts w:ascii="Calibri" w:eastAsia="Aptos" w:hAnsi="Calibri" w:cs="Calibri"/>
        </w:rPr>
        <w:t xml:space="preserve">The West Murray Zone (WMZ), spanning north west Victoria and south west New South Wales, has experienced recurring sub synchronous voltage oscillations in the 15–20 Hz range since August 2020 as seen in </w:t>
      </w:r>
      <w:r w:rsidR="00970DB8">
        <w:rPr>
          <w:rFonts w:ascii="Calibri" w:eastAsia="Aptos" w:hAnsi="Calibri" w:cs="Calibri"/>
          <w:highlight w:val="yellow"/>
        </w:rPr>
        <w:fldChar w:fldCharType="begin"/>
      </w:r>
      <w:r w:rsidR="00970DB8">
        <w:rPr>
          <w:rFonts w:ascii="Calibri" w:eastAsia="Aptos" w:hAnsi="Calibri" w:cs="Calibri"/>
        </w:rPr>
        <w:instrText xml:space="preserve"> REF _Ref234704515 \h </w:instrText>
      </w:r>
      <w:r w:rsidR="00970DB8">
        <w:rPr>
          <w:rFonts w:ascii="Calibri" w:eastAsia="Aptos" w:hAnsi="Calibri" w:cs="Calibri"/>
          <w:highlight w:val="yellow"/>
        </w:rPr>
      </w:r>
      <w:r w:rsidR="00970DB8">
        <w:rPr>
          <w:rFonts w:ascii="Calibri" w:eastAsia="Aptos" w:hAnsi="Calibri" w:cs="Calibri"/>
          <w:highlight w:val="yellow"/>
        </w:rPr>
        <w:fldChar w:fldCharType="separate"/>
      </w:r>
      <w:r w:rsidR="00970DB8">
        <w:t xml:space="preserve">Figure </w:t>
      </w:r>
      <w:r w:rsidR="00970DB8">
        <w:rPr>
          <w:noProof/>
        </w:rPr>
        <w:t>3</w:t>
      </w:r>
      <w:r w:rsidR="00970DB8">
        <w:rPr>
          <w:rFonts w:ascii="Calibri" w:eastAsia="Aptos" w:hAnsi="Calibri" w:cs="Calibri"/>
          <w:highlight w:val="yellow"/>
        </w:rPr>
        <w:fldChar w:fldCharType="end"/>
      </w:r>
      <w:r w:rsidRPr="00372C6B">
        <w:rPr>
          <w:rFonts w:ascii="Calibri" w:eastAsia="Aptos" w:hAnsi="Calibri" w:cs="Calibri"/>
        </w:rPr>
        <w:t xml:space="preserve">. These events occurred within a weak grid environment characterized by low system strength and a high concentration of grid following IBRs. </w:t>
      </w:r>
    </w:p>
    <w:p w14:paraId="734D915C" w14:textId="1A226EE2" w:rsidR="003E4B42" w:rsidRPr="00372C6B" w:rsidRDefault="003E4B42" w:rsidP="003E4B42">
      <w:pPr>
        <w:pStyle w:val="paragraph"/>
        <w:spacing w:before="0" w:beforeAutospacing="0" w:after="0" w:afterAutospacing="0"/>
        <w:jc w:val="both"/>
        <w:textAlignment w:val="baseline"/>
        <w:rPr>
          <w:rFonts w:ascii="Calibri" w:eastAsia="Aptos" w:hAnsi="Calibri" w:cs="Calibri"/>
          <w:kern w:val="2"/>
          <w14:ligatures w14:val="standardContextual"/>
        </w:rPr>
      </w:pPr>
      <w:r w:rsidRPr="00372C6B">
        <w:rPr>
          <w:rStyle w:val="wacimagecontainer"/>
          <w:rFonts w:ascii="Calibri" w:eastAsiaTheme="majorEastAsia" w:hAnsi="Calibri" w:cs="Calibri"/>
          <w:noProof/>
          <w:color w:val="881798"/>
          <w:sz w:val="18"/>
          <w:szCs w:val="18"/>
          <w:u w:val="single"/>
        </w:rPr>
        <w:drawing>
          <wp:inline distT="0" distB="0" distL="0" distR="0" wp14:anchorId="778A9AA1" wp14:editId="1B5AFC97">
            <wp:extent cx="5947410" cy="3676650"/>
            <wp:effectExtent l="0" t="0" r="0" b="0"/>
            <wp:docPr id="7" name="Picture 6" descr="The image appears to be a graph displaying the RMS (root mean square) voltage readings in kilovolt-ampere (kVa) for various electrical points (e.g., Murraylink, Bendigo, Darling Pt, Broken Hill, Bannerton, and Limondale) over a series of time interv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image appears to be a graph displaying the RMS (root mean square) voltage readings in kilovolt-ampere (kVa) for various electrical points (e.g., Murraylink, Bendigo, Darling Pt, Broken Hill, Bannerton, and Limondale) over a series of time intervals.&#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7410" cy="3676650"/>
                    </a:xfrm>
                    <a:prstGeom prst="rect">
                      <a:avLst/>
                    </a:prstGeom>
                    <a:noFill/>
                    <a:ln>
                      <a:noFill/>
                    </a:ln>
                  </pic:spPr>
                </pic:pic>
              </a:graphicData>
            </a:graphic>
          </wp:inline>
        </w:drawing>
      </w:r>
    </w:p>
    <w:p w14:paraId="01CE6A6A" w14:textId="5E797751" w:rsidR="003E4B42" w:rsidRPr="00970DB8" w:rsidRDefault="00970DB8" w:rsidP="00970DB8">
      <w:pPr>
        <w:pStyle w:val="Caption"/>
      </w:pPr>
      <w:bookmarkStart w:id="28" w:name="_Ref234704515"/>
      <w:bookmarkStart w:id="29" w:name="_Toc242906002"/>
      <w:bookmarkStart w:id="30" w:name="_Toc242913560"/>
      <w:r>
        <w:t xml:space="preserve">Figure </w:t>
      </w:r>
      <w:r>
        <w:fldChar w:fldCharType="begin"/>
      </w:r>
      <w:r>
        <w:instrText xml:space="preserve"> SEQ Figure \* ARABIC </w:instrText>
      </w:r>
      <w:r>
        <w:fldChar w:fldCharType="separate"/>
      </w:r>
      <w:r>
        <w:rPr>
          <w:noProof/>
        </w:rPr>
        <w:t>3</w:t>
      </w:r>
      <w:r>
        <w:rPr>
          <w:noProof/>
        </w:rPr>
        <w:fldChar w:fldCharType="end"/>
      </w:r>
      <w:bookmarkEnd w:id="28"/>
      <w:r>
        <w:t>.</w:t>
      </w:r>
      <w:r w:rsidRPr="00865262">
        <w:t xml:space="preserve"> </w:t>
      </w:r>
      <w:r w:rsidR="003E4B42" w:rsidRPr="00970DB8">
        <w:t>West Murray RMS voltages at 12:35</w:t>
      </w:r>
      <w:r w:rsidR="0087262F">
        <w:t xml:space="preserve"> </w:t>
      </w:r>
      <w:r w:rsidR="003E4B42" w:rsidRPr="00970DB8">
        <w:t>hrs</w:t>
      </w:r>
      <w:r w:rsidR="0087262F">
        <w:t xml:space="preserve"> </w:t>
      </w:r>
      <w:r w:rsidR="003E4B42" w:rsidRPr="00970DB8">
        <w:t>on 20 August 2020</w:t>
      </w:r>
      <w:bookmarkEnd w:id="29"/>
      <w:bookmarkEnd w:id="30"/>
      <w:r w:rsidR="00815BD9" w:rsidRPr="00970DB8">
        <w:t xml:space="preserve"> </w:t>
      </w:r>
    </w:p>
    <w:p w14:paraId="3D47248F" w14:textId="77777777" w:rsidR="00A275F5" w:rsidRPr="00372C6B" w:rsidRDefault="00A275F5" w:rsidP="006803B2">
      <w:pPr>
        <w:spacing w:before="240" w:line="276" w:lineRule="auto"/>
        <w:rPr>
          <w:rFonts w:ascii="Calibri" w:eastAsia="Aptos" w:hAnsi="Calibri" w:cs="Calibri"/>
          <w:b/>
          <w:bCs/>
        </w:rPr>
      </w:pPr>
      <w:r w:rsidRPr="00372C6B">
        <w:rPr>
          <w:rFonts w:ascii="Calibri" w:eastAsia="Aptos" w:hAnsi="Calibri" w:cs="Calibri"/>
          <w:b/>
          <w:bCs/>
        </w:rPr>
        <w:t>Consequences</w:t>
      </w:r>
    </w:p>
    <w:p w14:paraId="61EB3B1A" w14:textId="74E33FE8" w:rsidR="00A275F5" w:rsidRPr="00372C6B" w:rsidRDefault="00B21366" w:rsidP="00A275F5">
      <w:pPr>
        <w:pStyle w:val="paragraph"/>
        <w:spacing w:before="0" w:beforeAutospacing="0" w:after="0" w:afterAutospacing="0"/>
        <w:textAlignment w:val="baseline"/>
        <w:rPr>
          <w:rFonts w:ascii="Calibri" w:hAnsi="Calibri" w:cs="Calibri"/>
        </w:rPr>
      </w:pPr>
      <w:r w:rsidRPr="00B21366">
        <w:rPr>
          <w:rFonts w:asciiTheme="minorHAnsi" w:eastAsiaTheme="minorHAnsi" w:hAnsiTheme="minorHAnsi" w:cstheme="minorBidi"/>
          <w:color w:val="00B050"/>
          <w:kern w:val="2"/>
          <w:sz w:val="22"/>
          <w:szCs w:val="22"/>
          <w14:ligatures w14:val="standardContextual"/>
        </w:rPr>
        <w:lastRenderedPageBreak/>
        <w:t xml:space="preserve"> </w:t>
      </w:r>
      <w:r w:rsidRPr="00B21366">
        <w:rPr>
          <w:rFonts w:ascii="Calibri" w:eastAsiaTheme="majorEastAsia" w:hAnsi="Calibri" w:cs="Calibri"/>
        </w:rPr>
        <w:t>In some instances, s</w:t>
      </w:r>
      <w:r w:rsidR="00A275F5" w:rsidRPr="00372C6B">
        <w:rPr>
          <w:rStyle w:val="normaltextrun"/>
          <w:rFonts w:ascii="Calibri" w:eastAsiaTheme="majorEastAsia" w:hAnsi="Calibri" w:cs="Calibri"/>
        </w:rPr>
        <w:t>ustained voltage oscillations (17–19 Hz) were observed at RCTS 220 kV with magnitudes up to 2.2% peak</w:t>
      </w:r>
      <w:r w:rsidR="00A275F5" w:rsidRPr="00372C6B">
        <w:rPr>
          <w:rStyle w:val="nobreakhyphenblob"/>
          <w:rFonts w:ascii="Calibri" w:hAnsi="Calibri" w:cs="Calibri"/>
        </w:rPr>
        <w:noBreakHyphen/>
      </w:r>
      <w:r w:rsidR="00A275F5" w:rsidRPr="00372C6B">
        <w:rPr>
          <w:rStyle w:val="normaltextrun"/>
          <w:rFonts w:ascii="Calibri" w:eastAsiaTheme="majorEastAsia" w:hAnsi="Calibri" w:cs="Calibri"/>
        </w:rPr>
        <w:t>to</w:t>
      </w:r>
      <w:r w:rsidR="00A275F5" w:rsidRPr="00372C6B">
        <w:rPr>
          <w:rStyle w:val="nobreakhyphenblob"/>
          <w:rFonts w:ascii="Calibri" w:hAnsi="Calibri" w:cs="Calibri"/>
        </w:rPr>
        <w:noBreakHyphen/>
      </w:r>
      <w:r w:rsidR="00A275F5" w:rsidRPr="00372C6B">
        <w:rPr>
          <w:rStyle w:val="normaltextrun"/>
          <w:rFonts w:ascii="Calibri" w:eastAsiaTheme="majorEastAsia" w:hAnsi="Calibri" w:cs="Calibri"/>
        </w:rPr>
        <w:t>peak Root Mean Square (RMS), lasting from seconds to nearly an hour depending on the event, among other consequences.</w:t>
      </w:r>
    </w:p>
    <w:p w14:paraId="0DB76D9E" w14:textId="77777777" w:rsidR="00A275F5" w:rsidRPr="00372C6B" w:rsidRDefault="00A275F5" w:rsidP="006803B2">
      <w:pPr>
        <w:spacing w:before="240" w:line="276" w:lineRule="auto"/>
        <w:rPr>
          <w:rFonts w:ascii="Calibri" w:eastAsia="Aptos" w:hAnsi="Calibri" w:cs="Calibri"/>
          <w:b/>
          <w:bCs/>
        </w:rPr>
      </w:pPr>
      <w:r w:rsidRPr="00372C6B">
        <w:rPr>
          <w:rFonts w:ascii="Calibri" w:eastAsia="Aptos" w:hAnsi="Calibri" w:cs="Calibri"/>
          <w:b/>
          <w:bCs/>
        </w:rPr>
        <w:t>Conclusions and Recommendations</w:t>
      </w:r>
    </w:p>
    <w:p w14:paraId="6AA024C1" w14:textId="77777777" w:rsidR="00B21366" w:rsidRDefault="00B21366" w:rsidP="00A275F5">
      <w:pPr>
        <w:spacing w:line="276" w:lineRule="auto"/>
        <w:rPr>
          <w:rFonts w:ascii="Calibri" w:eastAsia="Aptos" w:hAnsi="Calibri" w:cs="Calibri"/>
        </w:rPr>
      </w:pPr>
      <w:r w:rsidRPr="00B21366">
        <w:rPr>
          <w:rFonts w:ascii="Calibri" w:eastAsia="Aptos" w:hAnsi="Calibri" w:cs="Calibri"/>
        </w:rPr>
        <w:t xml:space="preserve">To mitigate system security risks, constraints were applied to several solar farms and subsequently lifted in 2020 following retuning enabled by collaboration between AEMO, network service providers, participants and manufacturers. </w:t>
      </w:r>
    </w:p>
    <w:p w14:paraId="753C8719" w14:textId="2BF865CA" w:rsidR="00B21366" w:rsidRDefault="00A275F5" w:rsidP="00A275F5">
      <w:pPr>
        <w:spacing w:line="276" w:lineRule="auto"/>
        <w:rPr>
          <w:rFonts w:ascii="Calibri" w:eastAsia="Aptos" w:hAnsi="Calibri" w:cs="Calibri"/>
        </w:rPr>
      </w:pPr>
      <w:r w:rsidRPr="00372C6B">
        <w:rPr>
          <w:rFonts w:ascii="Calibri" w:eastAsia="Aptos" w:hAnsi="Calibri" w:cs="Calibri"/>
        </w:rPr>
        <w:t>AEMO’s multi-year investigation shows that although the</w:t>
      </w:r>
      <w:r w:rsidR="00B21366">
        <w:rPr>
          <w:rFonts w:ascii="Calibri" w:eastAsia="Aptos" w:hAnsi="Calibri" w:cs="Calibri"/>
        </w:rPr>
        <w:t>se</w:t>
      </w:r>
      <w:r w:rsidRPr="00372C6B">
        <w:rPr>
          <w:rFonts w:ascii="Calibri" w:eastAsia="Aptos" w:hAnsi="Calibri" w:cs="Calibri"/>
        </w:rPr>
        <w:t xml:space="preserve"> oscillations do not currently pose immediate security threats, they highlight important stability challenges emerging in high renewable, weak grid regions. </w:t>
      </w:r>
      <w:r w:rsidR="00B21366" w:rsidRPr="00B21366">
        <w:rPr>
          <w:rFonts w:ascii="Calibri" w:eastAsia="Aptos" w:hAnsi="Calibri" w:cs="Calibri"/>
        </w:rPr>
        <w:t>Investigations are ongoing into the cause(s) of oscillations in the area.</w:t>
      </w:r>
    </w:p>
    <w:p w14:paraId="3ACC24F9" w14:textId="238716FE" w:rsidR="0087262F" w:rsidRPr="00372C6B" w:rsidRDefault="0087262F" w:rsidP="0087262F">
      <w:pPr>
        <w:spacing w:before="240" w:line="276" w:lineRule="auto"/>
        <w:rPr>
          <w:rFonts w:ascii="Calibri" w:eastAsia="Aptos" w:hAnsi="Calibri" w:cs="Calibri"/>
          <w:b/>
          <w:bCs/>
        </w:rPr>
      </w:pPr>
      <w:r>
        <w:rPr>
          <w:rFonts w:ascii="Calibri" w:eastAsia="Aptos" w:hAnsi="Calibri" w:cs="Calibri"/>
          <w:b/>
          <w:bCs/>
        </w:rPr>
        <w:t>Reference</w:t>
      </w:r>
    </w:p>
    <w:p w14:paraId="7F6D7BE4" w14:textId="029B8CF6" w:rsidR="00A275F5" w:rsidRPr="00372C6B" w:rsidRDefault="0087262F" w:rsidP="00A275F5">
      <w:pPr>
        <w:pStyle w:val="paragraph"/>
        <w:spacing w:before="0" w:beforeAutospacing="0" w:after="0" w:afterAutospacing="0"/>
        <w:jc w:val="both"/>
        <w:textAlignment w:val="baseline"/>
        <w:rPr>
          <w:rFonts w:ascii="Calibri" w:eastAsia="Aptos" w:hAnsi="Calibri" w:cs="Calibri"/>
          <w:kern w:val="2"/>
          <w14:ligatures w14:val="standardContextual"/>
        </w:rPr>
      </w:pPr>
      <w:r w:rsidRPr="0087262F">
        <w:rPr>
          <w:rFonts w:ascii="Calibri" w:eastAsia="Aptos" w:hAnsi="Calibri" w:cs="Calibri"/>
          <w:kern w:val="2"/>
          <w14:ligatures w14:val="standardContextual"/>
        </w:rPr>
        <w:t>AEMO, "West Murray Zone Power System Oscillations 2020-2021," 2023.</w:t>
      </w:r>
    </w:p>
    <w:p w14:paraId="075337CD" w14:textId="68A58A2E" w:rsidR="00BC315C" w:rsidRDefault="003A1AA3" w:rsidP="006372AD">
      <w:pPr>
        <w:pStyle w:val="Heading3"/>
        <w:rPr>
          <w:rFonts w:cstheme="minorBidi"/>
        </w:rPr>
      </w:pPr>
      <w:r>
        <w:rPr>
          <w:rFonts w:ascii="Calibri" w:hAnsi="Calibri" w:cs="Calibri"/>
        </w:rPr>
        <w:t>7</w:t>
      </w:r>
      <w:r w:rsidR="006372AD" w:rsidRPr="006372AD">
        <w:rPr>
          <w:rFonts w:ascii="Calibri" w:hAnsi="Calibri" w:cs="Calibri"/>
        </w:rPr>
        <w:t xml:space="preserve">.5.2  Oscillations in North Scotland 2021 – UK – 8 Hz </w:t>
      </w:r>
    </w:p>
    <w:p w14:paraId="796EC7B5" w14:textId="77777777" w:rsidR="00D24BF6" w:rsidRPr="00372C6B" w:rsidRDefault="00D24BF6" w:rsidP="00D24BF6">
      <w:pPr>
        <w:spacing w:before="240" w:line="276" w:lineRule="auto"/>
        <w:rPr>
          <w:rFonts w:ascii="Calibri" w:eastAsia="Aptos" w:hAnsi="Calibri" w:cs="Calibri"/>
          <w:b/>
          <w:bCs/>
        </w:rPr>
      </w:pPr>
      <w:r w:rsidRPr="00372C6B">
        <w:rPr>
          <w:rFonts w:ascii="Calibri" w:eastAsia="Aptos" w:hAnsi="Calibri" w:cs="Calibri"/>
          <w:b/>
          <w:bCs/>
        </w:rPr>
        <w:t>Brief Event Description</w:t>
      </w:r>
    </w:p>
    <w:p w14:paraId="3DD10BCE" w14:textId="77777777" w:rsidR="000E21BD" w:rsidRPr="00372C6B" w:rsidRDefault="003E4B42" w:rsidP="001F5330">
      <w:pPr>
        <w:pStyle w:val="paragraph"/>
        <w:spacing w:before="0" w:beforeAutospacing="0" w:after="0" w:afterAutospacing="0"/>
        <w:jc w:val="both"/>
        <w:textAlignment w:val="baseline"/>
        <w:rPr>
          <w:rFonts w:ascii="Calibri" w:eastAsia="Aptos" w:hAnsi="Calibri" w:cs="Calibri"/>
          <w:kern w:val="2"/>
          <w14:ligatures w14:val="standardContextual"/>
        </w:rPr>
      </w:pPr>
      <w:r w:rsidRPr="00372C6B">
        <w:rPr>
          <w:rFonts w:ascii="Calibri" w:eastAsia="Aptos" w:hAnsi="Calibri" w:cs="Calibri"/>
          <w:kern w:val="2"/>
          <w14:ligatures w14:val="standardContextual"/>
        </w:rPr>
        <w:t>Evidence of oscillatory instability</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emerged</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 in Scotland on 24 August 2021, when 8</w:t>
      </w:r>
      <w:r w:rsidRPr="00372C6B">
        <w:rPr>
          <w:rFonts w:ascii="Calibri" w:eastAsia="Aptos" w:hAnsi="Calibri" w:cs="Calibri"/>
          <w:kern w:val="2"/>
          <w14:ligatures w14:val="standardContextual"/>
        </w:rPr>
        <w:noBreakHyphen/>
        <w:t>Hz oscillations were</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observed</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in RMS voltage and persisted for</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approximately 20–25 seconds on two separate occasions,</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roughly thirty</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 xml:space="preserve">minutes apart. </w:t>
      </w:r>
    </w:p>
    <w:p w14:paraId="09BEC35A" w14:textId="72D6B123" w:rsidR="000E21BD" w:rsidRPr="00372C6B" w:rsidRDefault="000E21BD" w:rsidP="000E21BD">
      <w:pPr>
        <w:pStyle w:val="paragraph"/>
        <w:spacing w:after="0"/>
        <w:jc w:val="both"/>
        <w:textAlignment w:val="baseline"/>
        <w:rPr>
          <w:rFonts w:ascii="Calibri" w:eastAsia="Aptos" w:hAnsi="Calibri" w:cs="Calibri"/>
          <w:kern w:val="2"/>
          <w14:ligatures w14:val="standardContextual"/>
        </w:rPr>
      </w:pPr>
      <w:r w:rsidRPr="00372C6B">
        <w:rPr>
          <w:rFonts w:ascii="Calibri" w:eastAsia="Aptos" w:hAnsi="Calibri" w:cs="Calibri"/>
          <w:kern w:val="2"/>
          <w14:ligatures w14:val="standardContextual"/>
        </w:rPr>
        <w:t>During the event, several wind parks tripped off, and North Scotland came close to complete blackout. Disturbances reached Torness nuclear station, which came close to tripping, narrowly avoiding serious consequences for central Scotland.</w:t>
      </w:r>
    </w:p>
    <w:p w14:paraId="7523EB74" w14:textId="77777777" w:rsidR="002F0C12" w:rsidRPr="00372C6B" w:rsidRDefault="002F0C12" w:rsidP="002F0C12">
      <w:pPr>
        <w:spacing w:before="240" w:line="276" w:lineRule="auto"/>
        <w:rPr>
          <w:rFonts w:ascii="Calibri" w:eastAsia="Aptos" w:hAnsi="Calibri" w:cs="Calibri"/>
          <w:b/>
          <w:bCs/>
        </w:rPr>
      </w:pPr>
      <w:r w:rsidRPr="00372C6B">
        <w:rPr>
          <w:rFonts w:ascii="Calibri" w:eastAsia="Aptos" w:hAnsi="Calibri" w:cs="Calibri"/>
          <w:b/>
          <w:bCs/>
        </w:rPr>
        <w:t>Consequences</w:t>
      </w:r>
    </w:p>
    <w:p w14:paraId="504A7FB8" w14:textId="77777777" w:rsidR="002F0C12" w:rsidRPr="00372C6B" w:rsidRDefault="003E4B42" w:rsidP="001F5330">
      <w:pPr>
        <w:pStyle w:val="paragraph"/>
        <w:spacing w:before="0" w:beforeAutospacing="0" w:after="0" w:afterAutospacing="0"/>
        <w:jc w:val="both"/>
        <w:textAlignment w:val="baseline"/>
        <w:rPr>
          <w:rFonts w:ascii="Calibri" w:eastAsia="Aptos" w:hAnsi="Calibri" w:cs="Calibri"/>
          <w:kern w:val="2"/>
          <w14:ligatures w14:val="standardContextual"/>
        </w:rPr>
      </w:pPr>
      <w:r w:rsidRPr="00372C6B">
        <w:rPr>
          <w:rFonts w:ascii="Calibri" w:eastAsia="Aptos" w:hAnsi="Calibri" w:cs="Calibri"/>
          <w:kern w:val="2"/>
          <w14:ligatures w14:val="standardContextual"/>
        </w:rPr>
        <w:t>These disturbances were</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subsequently</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mitigated following the reintroduction of several traditional generating units to the system, which is characterized by</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a very high</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 xml:space="preserve">penetration of wind generation. </w:t>
      </w:r>
    </w:p>
    <w:p w14:paraId="7010E939" w14:textId="77777777" w:rsidR="002F0C12" w:rsidRPr="00372C6B" w:rsidRDefault="002F0C12" w:rsidP="002F0C12">
      <w:pPr>
        <w:spacing w:before="240" w:line="276" w:lineRule="auto"/>
        <w:rPr>
          <w:rFonts w:ascii="Calibri" w:eastAsia="Aptos" w:hAnsi="Calibri" w:cs="Calibri"/>
          <w:b/>
          <w:bCs/>
        </w:rPr>
      </w:pPr>
      <w:r w:rsidRPr="00372C6B">
        <w:rPr>
          <w:rFonts w:ascii="Calibri" w:eastAsia="Aptos" w:hAnsi="Calibri" w:cs="Calibri"/>
          <w:b/>
          <w:bCs/>
        </w:rPr>
        <w:t>Conclusions and Recommendations</w:t>
      </w:r>
    </w:p>
    <w:p w14:paraId="2CA31652" w14:textId="55129035" w:rsidR="003E4B42" w:rsidRPr="00372C6B" w:rsidRDefault="003E4B42" w:rsidP="001F5330">
      <w:pPr>
        <w:pStyle w:val="paragraph"/>
        <w:spacing w:before="0" w:beforeAutospacing="0" w:after="0" w:afterAutospacing="0"/>
        <w:jc w:val="both"/>
        <w:textAlignment w:val="baseline"/>
        <w:rPr>
          <w:rFonts w:ascii="Calibri" w:hAnsi="Calibri" w:cs="Calibri"/>
          <w:sz w:val="18"/>
          <w:szCs w:val="18"/>
        </w:rPr>
      </w:pPr>
      <w:r w:rsidRPr="00372C6B">
        <w:rPr>
          <w:rFonts w:ascii="Calibri" w:eastAsia="Aptos" w:hAnsi="Calibri" w:cs="Calibri"/>
          <w:kern w:val="2"/>
          <w14:ligatures w14:val="standardContextual"/>
        </w:rPr>
        <w:t>Although the precise root cause of</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oscillatory</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behavior</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remains</w:t>
      </w:r>
      <w:r w:rsidR="00D24BF6" w:rsidRPr="00372C6B">
        <w:rPr>
          <w:rFonts w:ascii="Calibri" w:eastAsia="Aptos" w:hAnsi="Calibri" w:cs="Calibri"/>
          <w:kern w:val="2"/>
          <w14:ligatures w14:val="standardContextual"/>
        </w:rPr>
        <w:t xml:space="preserve"> </w:t>
      </w:r>
      <w:r w:rsidRPr="00372C6B">
        <w:rPr>
          <w:rFonts w:ascii="Calibri" w:eastAsia="Aptos" w:hAnsi="Calibri" w:cs="Calibri"/>
          <w:kern w:val="2"/>
          <w14:ligatures w14:val="standardContextual"/>
        </w:rPr>
        <w:t xml:space="preserve">under </w:t>
      </w:r>
      <w:r w:rsidRPr="00372C6B">
        <w:rPr>
          <w:rStyle w:val="normaltextrun"/>
          <w:rFonts w:ascii="Calibri" w:eastAsiaTheme="majorEastAsia" w:hAnsi="Calibri" w:cs="Calibri"/>
        </w:rPr>
        <w:t>investigation, the event underscores the challenges associated with</w:t>
      </w:r>
      <w:r w:rsidR="00D24BF6" w:rsidRPr="00372C6B">
        <w:rPr>
          <w:rStyle w:val="normaltextrun"/>
          <w:rFonts w:ascii="Calibri" w:eastAsiaTheme="majorEastAsia" w:hAnsi="Calibri" w:cs="Calibri"/>
        </w:rPr>
        <w:t xml:space="preserve"> </w:t>
      </w:r>
      <w:r w:rsidRPr="00372C6B">
        <w:rPr>
          <w:rStyle w:val="normaltextrun"/>
          <w:rFonts w:ascii="Calibri" w:eastAsiaTheme="majorEastAsia" w:hAnsi="Calibri" w:cs="Calibri"/>
        </w:rPr>
        <w:t>maintaining</w:t>
      </w:r>
      <w:r w:rsidR="00D24BF6" w:rsidRPr="00372C6B">
        <w:rPr>
          <w:rStyle w:val="normaltextrun"/>
          <w:rFonts w:ascii="Calibri" w:eastAsiaTheme="majorEastAsia" w:hAnsi="Calibri" w:cs="Calibri"/>
        </w:rPr>
        <w:t xml:space="preserve"> </w:t>
      </w:r>
      <w:r w:rsidRPr="00372C6B">
        <w:rPr>
          <w:rStyle w:val="normaltextrun"/>
          <w:rFonts w:ascii="Calibri" w:eastAsiaTheme="majorEastAsia" w:hAnsi="Calibri" w:cs="Calibri"/>
        </w:rPr>
        <w:t>adequate dynamic performance in systems with reduced synchronous generation and highlights the importance of continuous monitoring and rapid operational response.</w:t>
      </w:r>
      <w:r w:rsidRPr="00372C6B">
        <w:rPr>
          <w:rStyle w:val="eop"/>
          <w:rFonts w:ascii="Calibri" w:hAnsi="Calibri" w:cs="Calibri"/>
        </w:rPr>
        <w:t> </w:t>
      </w:r>
    </w:p>
    <w:p w14:paraId="079C0F46" w14:textId="3AF7C3FA" w:rsidR="003E4B42" w:rsidRDefault="003E4B42" w:rsidP="00B1699B">
      <w:pPr>
        <w:pStyle w:val="paragraph"/>
        <w:spacing w:before="0" w:beforeAutospacing="0" w:after="0" w:afterAutospacing="0"/>
        <w:jc w:val="both"/>
        <w:textAlignment w:val="baseline"/>
        <w:rPr>
          <w:rFonts w:ascii="Calibri" w:eastAsia="Aptos" w:hAnsi="Calibri" w:cs="Calibri"/>
          <w:kern w:val="2"/>
          <w14:ligatures w14:val="standardContextual"/>
        </w:rPr>
      </w:pPr>
    </w:p>
    <w:p w14:paraId="0A18C32B" w14:textId="72FB7BB0" w:rsidR="00774DBA" w:rsidRPr="00372C6B" w:rsidRDefault="00774DBA" w:rsidP="00774DBA">
      <w:pPr>
        <w:spacing w:before="240" w:line="276" w:lineRule="auto"/>
        <w:rPr>
          <w:rFonts w:ascii="Calibri" w:eastAsia="Aptos" w:hAnsi="Calibri" w:cs="Calibri"/>
          <w:b/>
          <w:bCs/>
        </w:rPr>
      </w:pPr>
      <w:r>
        <w:rPr>
          <w:rFonts w:ascii="Calibri" w:eastAsia="Aptos" w:hAnsi="Calibri" w:cs="Calibri"/>
          <w:b/>
          <w:bCs/>
        </w:rPr>
        <w:t>Reference</w:t>
      </w:r>
    </w:p>
    <w:p w14:paraId="7599C023" w14:textId="10DD4CDC" w:rsidR="00774DBA" w:rsidRDefault="00774DBA" w:rsidP="00B1699B">
      <w:pPr>
        <w:pStyle w:val="paragraph"/>
        <w:spacing w:before="0" w:beforeAutospacing="0" w:after="0" w:afterAutospacing="0"/>
        <w:jc w:val="both"/>
        <w:textAlignment w:val="baseline"/>
        <w:rPr>
          <w:rFonts w:ascii="Calibri" w:eastAsia="Aptos" w:hAnsi="Calibri" w:cs="Calibri"/>
          <w:kern w:val="2"/>
          <w14:ligatures w14:val="standardContextual"/>
        </w:rPr>
      </w:pPr>
      <w:r w:rsidRPr="00774DBA">
        <w:rPr>
          <w:rFonts w:ascii="Calibri" w:eastAsia="Aptos" w:hAnsi="Calibri" w:cs="Calibri"/>
          <w:kern w:val="2"/>
          <w14:ligatures w14:val="standardContextual"/>
        </w:rPr>
        <w:lastRenderedPageBreak/>
        <w:t>J. Leslie, "ESIG," 25 01 2022. [Online]. Available: https://www.esig.energy/event/webinar-managing-grid-stability-in-a-high-ibr-network/</w:t>
      </w:r>
    </w:p>
    <w:p w14:paraId="6E001E88" w14:textId="77777777" w:rsidR="00774DBA" w:rsidRPr="00372C6B" w:rsidRDefault="00774DBA" w:rsidP="00B1699B">
      <w:pPr>
        <w:pStyle w:val="paragraph"/>
        <w:spacing w:before="0" w:beforeAutospacing="0" w:after="0" w:afterAutospacing="0"/>
        <w:jc w:val="both"/>
        <w:textAlignment w:val="baseline"/>
        <w:rPr>
          <w:rFonts w:ascii="Calibri" w:eastAsia="Aptos" w:hAnsi="Calibri" w:cs="Calibri"/>
          <w:kern w:val="2"/>
          <w14:ligatures w14:val="standardContextual"/>
        </w:rPr>
      </w:pPr>
    </w:p>
    <w:p w14:paraId="4CC414A4" w14:textId="397F4ED0" w:rsidR="00BC315C" w:rsidRDefault="003A1AA3" w:rsidP="003A1AA3">
      <w:pPr>
        <w:pStyle w:val="Heading3"/>
        <w:rPr>
          <w:rFonts w:cstheme="minorBidi"/>
        </w:rPr>
      </w:pPr>
      <w:r>
        <w:rPr>
          <w:rFonts w:ascii="Calibri" w:hAnsi="Calibri" w:cs="Calibri"/>
        </w:rPr>
        <w:t>7</w:t>
      </w:r>
      <w:r w:rsidRPr="003A1AA3">
        <w:rPr>
          <w:rFonts w:ascii="Calibri" w:hAnsi="Calibri" w:cs="Calibri"/>
        </w:rPr>
        <w:t>.5.3  Oscillations in Glasgow 2023 - UK</w:t>
      </w:r>
    </w:p>
    <w:p w14:paraId="53526047" w14:textId="77777777" w:rsidR="00CC09AE" w:rsidRPr="00372C6B" w:rsidRDefault="00CC09AE" w:rsidP="00CC09AE">
      <w:pPr>
        <w:spacing w:before="240" w:line="276" w:lineRule="auto"/>
        <w:rPr>
          <w:rFonts w:ascii="Calibri" w:eastAsia="Aptos" w:hAnsi="Calibri" w:cs="Calibri"/>
          <w:b/>
          <w:bCs/>
        </w:rPr>
      </w:pPr>
      <w:r w:rsidRPr="00372C6B">
        <w:rPr>
          <w:rFonts w:ascii="Calibri" w:eastAsia="Aptos" w:hAnsi="Calibri" w:cs="Calibri"/>
          <w:b/>
          <w:bCs/>
        </w:rPr>
        <w:t>Brief Event Description</w:t>
      </w:r>
    </w:p>
    <w:p w14:paraId="487E5D1C" w14:textId="06ED1D3C" w:rsidR="00805229" w:rsidRDefault="00CC09AE" w:rsidP="00805229">
      <w:pPr>
        <w:rPr>
          <w:rFonts w:ascii="Calibri" w:hAnsi="Calibri" w:cs="Calibri"/>
        </w:rPr>
      </w:pPr>
      <w:r w:rsidRPr="00CC09AE">
        <w:rPr>
          <w:rFonts w:ascii="Calibri" w:hAnsi="Calibri" w:cs="Calibri"/>
        </w:rPr>
        <w:t>The 2023 event in Great Britain offers a significant illustration of how low damping conditions can precipitate rapid system instability. In this incident, an 8 Hz oscillation escalated within seconds, reaching an amplitude of approximately 200 millihertz in about five seconds and leading to the trip of a nuclear generating unit within twenty seconds. Notably, an HVDC link exporting power also tripped; although such an occurrence is typically undesirable, its disconnection in this case inadvertently mitigated a deeper frequency deviation by removing a substantial exporting load. Subsequent analysis of historical sensor measurements</w:t>
      </w:r>
      <w:r>
        <w:rPr>
          <w:rFonts w:ascii="Calibri" w:hAnsi="Calibri" w:cs="Calibri"/>
        </w:rPr>
        <w:t xml:space="preserve">, </w:t>
      </w:r>
      <w:r w:rsidRPr="00CC09AE">
        <w:rPr>
          <w:rFonts w:ascii="Calibri" w:hAnsi="Calibri" w:cs="Calibri"/>
        </w:rPr>
        <w:t>collected prior to the availability of a dedicated oscillation monitoring system</w:t>
      </w:r>
      <w:r>
        <w:rPr>
          <w:rFonts w:ascii="Calibri" w:hAnsi="Calibri" w:cs="Calibri"/>
        </w:rPr>
        <w:t xml:space="preserve">, </w:t>
      </w:r>
      <w:r w:rsidRPr="00CC09AE">
        <w:rPr>
          <w:rFonts w:ascii="Calibri" w:hAnsi="Calibri" w:cs="Calibri"/>
        </w:rPr>
        <w:t>revealed that the same 8 Hz mode had repeatedly exhibited low damping in the months preceding the event, indicating a progressive reduction in system robustness. As network topology evolved due to maintenance and operational conditions, the system’s remaining damping margin proved insufficient to contain the disturbance</w:t>
      </w:r>
      <w:r w:rsidR="00BF0640">
        <w:rPr>
          <w:rFonts w:ascii="Calibri" w:hAnsi="Calibri" w:cs="Calibri"/>
        </w:rPr>
        <w:t xml:space="preserve"> (see </w:t>
      </w:r>
      <w:r w:rsidR="00BF0640">
        <w:rPr>
          <w:rFonts w:ascii="Calibri" w:hAnsi="Calibri" w:cs="Calibri"/>
        </w:rPr>
        <w:fldChar w:fldCharType="begin"/>
      </w:r>
      <w:r w:rsidR="00BF0640">
        <w:rPr>
          <w:rFonts w:ascii="Calibri" w:hAnsi="Calibri" w:cs="Calibri"/>
        </w:rPr>
        <w:instrText xml:space="preserve"> REF _Ref234704662 \h </w:instrText>
      </w:r>
      <w:r w:rsidR="00BF0640">
        <w:rPr>
          <w:rFonts w:ascii="Calibri" w:hAnsi="Calibri" w:cs="Calibri"/>
        </w:rPr>
      </w:r>
      <w:r w:rsidR="00BF0640">
        <w:rPr>
          <w:rFonts w:ascii="Calibri" w:hAnsi="Calibri" w:cs="Calibri"/>
        </w:rPr>
        <w:fldChar w:fldCharType="separate"/>
      </w:r>
      <w:r w:rsidR="00BF0640">
        <w:t xml:space="preserve">Figure </w:t>
      </w:r>
      <w:r w:rsidR="00BF0640">
        <w:rPr>
          <w:noProof/>
        </w:rPr>
        <w:t>4</w:t>
      </w:r>
      <w:r w:rsidR="00BF0640">
        <w:rPr>
          <w:rFonts w:ascii="Calibri" w:hAnsi="Calibri" w:cs="Calibri"/>
        </w:rPr>
        <w:fldChar w:fldCharType="end"/>
      </w:r>
      <w:r w:rsidR="00BF0640">
        <w:rPr>
          <w:rFonts w:ascii="Calibri" w:hAnsi="Calibri" w:cs="Calibri"/>
        </w:rPr>
        <w:t>)</w:t>
      </w:r>
      <w:r w:rsidRPr="00CC09AE">
        <w:rPr>
          <w:rFonts w:ascii="Calibri" w:hAnsi="Calibri" w:cs="Calibri"/>
        </w:rPr>
        <w:t>.</w:t>
      </w:r>
      <w:r w:rsidR="00EE0297" w:rsidRPr="00EE0297">
        <w:t xml:space="preserve"> </w:t>
      </w:r>
    </w:p>
    <w:p w14:paraId="2750FFEF" w14:textId="77777777" w:rsidR="00CC09AE" w:rsidRPr="00372C6B" w:rsidRDefault="00CC09AE" w:rsidP="00CC09AE">
      <w:pPr>
        <w:pStyle w:val="paragraph"/>
        <w:spacing w:before="0" w:beforeAutospacing="0" w:after="0" w:afterAutospacing="0"/>
        <w:jc w:val="center"/>
        <w:textAlignment w:val="baseline"/>
        <w:rPr>
          <w:rFonts w:ascii="Calibri" w:hAnsi="Calibri" w:cs="Calibri"/>
          <w:sz w:val="18"/>
          <w:szCs w:val="18"/>
        </w:rPr>
      </w:pPr>
      <w:r w:rsidRPr="00372C6B">
        <w:rPr>
          <w:rStyle w:val="wacimagecontainer"/>
          <w:rFonts w:ascii="Calibri" w:eastAsiaTheme="majorEastAsia" w:hAnsi="Calibri" w:cs="Calibri"/>
          <w:noProof/>
          <w:color w:val="881798"/>
          <w:sz w:val="18"/>
          <w:szCs w:val="18"/>
          <w:u w:val="single"/>
        </w:rPr>
        <w:drawing>
          <wp:inline distT="0" distB="0" distL="0" distR="0" wp14:anchorId="1CD4F382" wp14:editId="308E7926">
            <wp:extent cx="4324350" cy="2857500"/>
            <wp:effectExtent l="0" t="0" r="0" b="0"/>
            <wp:docPr id="8" name="Picture 5" descr="The image displays a graph depicting the frequency of an oscillating signal and its corresponding damping ratio, indicating the signal's amplitude and stability over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image displays a graph depicting the frequency of an oscillating signal and its corresponding damping ratio, indicating the signal's amplitude and stability over time.&#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24350" cy="2857500"/>
                    </a:xfrm>
                    <a:prstGeom prst="rect">
                      <a:avLst/>
                    </a:prstGeom>
                    <a:noFill/>
                    <a:ln>
                      <a:noFill/>
                    </a:ln>
                  </pic:spPr>
                </pic:pic>
              </a:graphicData>
            </a:graphic>
          </wp:inline>
        </w:drawing>
      </w:r>
      <w:r w:rsidRPr="00372C6B">
        <w:rPr>
          <w:rStyle w:val="eop"/>
          <w:rFonts w:ascii="Calibri" w:hAnsi="Calibri" w:cs="Calibri"/>
          <w:color w:val="881798"/>
        </w:rPr>
        <w:t> </w:t>
      </w:r>
    </w:p>
    <w:p w14:paraId="69773263" w14:textId="6479AC2B" w:rsidR="00CC09AE" w:rsidRPr="00BF0640" w:rsidRDefault="00BF0640" w:rsidP="00BF0640">
      <w:pPr>
        <w:pStyle w:val="Caption"/>
      </w:pPr>
      <w:bookmarkStart w:id="31" w:name="_Ref234704662"/>
      <w:bookmarkStart w:id="32" w:name="_Toc242906003"/>
      <w:bookmarkStart w:id="33" w:name="_Toc242913561"/>
      <w:r>
        <w:t xml:space="preserve">Figure </w:t>
      </w:r>
      <w:r>
        <w:fldChar w:fldCharType="begin"/>
      </w:r>
      <w:r>
        <w:instrText xml:space="preserve"> SEQ Figure \* ARABIC </w:instrText>
      </w:r>
      <w:r>
        <w:fldChar w:fldCharType="separate"/>
      </w:r>
      <w:r>
        <w:rPr>
          <w:noProof/>
        </w:rPr>
        <w:t>4</w:t>
      </w:r>
      <w:r>
        <w:rPr>
          <w:noProof/>
        </w:rPr>
        <w:fldChar w:fldCharType="end"/>
      </w:r>
      <w:bookmarkEnd w:id="31"/>
      <w:r>
        <w:t>.</w:t>
      </w:r>
      <w:r w:rsidR="00CC09AE" w:rsidRPr="00BF0640">
        <w:t xml:space="preserve"> Oscillation Analysis</w:t>
      </w:r>
      <w:r w:rsidR="00EE29AA" w:rsidRPr="00BF0640">
        <w:t xml:space="preserve"> </w:t>
      </w:r>
      <w:r w:rsidR="00CC09AE" w:rsidRPr="00BF0640">
        <w:t>-</w:t>
      </w:r>
      <w:r w:rsidR="00EE29AA" w:rsidRPr="00BF0640">
        <w:t xml:space="preserve"> </w:t>
      </w:r>
      <w:r w:rsidR="00CC09AE" w:rsidRPr="00BF0640">
        <w:t>Scotland N-2 Oscillation Event (2023-06-12)</w:t>
      </w:r>
      <w:bookmarkEnd w:id="32"/>
      <w:bookmarkEnd w:id="33"/>
    </w:p>
    <w:p w14:paraId="370E8FF6" w14:textId="77777777" w:rsidR="00CC09AE" w:rsidRDefault="00CC09AE" w:rsidP="00CC09AE">
      <w:pPr>
        <w:spacing w:before="240" w:line="276" w:lineRule="auto"/>
        <w:rPr>
          <w:rFonts w:ascii="Calibri" w:eastAsia="Aptos" w:hAnsi="Calibri" w:cs="Calibri"/>
          <w:b/>
          <w:bCs/>
        </w:rPr>
      </w:pPr>
      <w:r w:rsidRPr="00372C6B">
        <w:rPr>
          <w:rFonts w:ascii="Calibri" w:eastAsia="Aptos" w:hAnsi="Calibri" w:cs="Calibri"/>
          <w:b/>
          <w:bCs/>
        </w:rPr>
        <w:t>Consequences</w:t>
      </w:r>
    </w:p>
    <w:p w14:paraId="2F11BABF" w14:textId="27E5A21C" w:rsidR="00EE0297" w:rsidRPr="00EE0297" w:rsidRDefault="00EE0297" w:rsidP="00CC09AE">
      <w:pPr>
        <w:spacing w:before="240" w:line="276" w:lineRule="auto"/>
        <w:rPr>
          <w:rFonts w:ascii="Calibri" w:eastAsia="Aptos" w:hAnsi="Calibri" w:cs="Calibri"/>
        </w:rPr>
      </w:pPr>
      <w:r w:rsidRPr="00EE0297">
        <w:rPr>
          <w:rFonts w:ascii="Calibri" w:eastAsia="Aptos" w:hAnsi="Calibri" w:cs="Calibri"/>
        </w:rPr>
        <w:t>Nearly all traffic lights in Glasgow Scotland failed due to voltage oscillations on the 400 kV grid leading to “spikes” on the distribution grid</w:t>
      </w:r>
      <w:r>
        <w:rPr>
          <w:rFonts w:ascii="Calibri" w:eastAsia="Aptos" w:hAnsi="Calibri" w:cs="Calibri"/>
        </w:rPr>
        <w:t>.</w:t>
      </w:r>
    </w:p>
    <w:p w14:paraId="0580E543" w14:textId="77777777" w:rsidR="00CC09AE" w:rsidRPr="00372C6B" w:rsidRDefault="00CC09AE" w:rsidP="00CC09AE">
      <w:pPr>
        <w:spacing w:before="240" w:line="276" w:lineRule="auto"/>
        <w:rPr>
          <w:rFonts w:ascii="Calibri" w:eastAsia="Aptos" w:hAnsi="Calibri" w:cs="Calibri"/>
          <w:b/>
          <w:bCs/>
        </w:rPr>
      </w:pPr>
      <w:r w:rsidRPr="00372C6B">
        <w:rPr>
          <w:rFonts w:ascii="Calibri" w:eastAsia="Aptos" w:hAnsi="Calibri" w:cs="Calibri"/>
          <w:b/>
          <w:bCs/>
        </w:rPr>
        <w:lastRenderedPageBreak/>
        <w:t>Conclusions and Recommendations</w:t>
      </w:r>
    </w:p>
    <w:p w14:paraId="34E2ABC2" w14:textId="77777777" w:rsidR="00EE0297" w:rsidRDefault="00EE0297" w:rsidP="00805229">
      <w:pPr>
        <w:rPr>
          <w:rFonts w:ascii="Calibri" w:hAnsi="Calibri" w:cs="Calibri"/>
        </w:rPr>
      </w:pPr>
      <w:r w:rsidRPr="00EE0297">
        <w:rPr>
          <w:rFonts w:ascii="Calibri" w:hAnsi="Calibri" w:cs="Calibri"/>
        </w:rPr>
        <w:t>Improperly configured controller setting within one of the assets</w:t>
      </w:r>
      <w:r>
        <w:rPr>
          <w:rFonts w:ascii="Calibri" w:hAnsi="Calibri" w:cs="Calibri"/>
        </w:rPr>
        <w:t xml:space="preserve"> was identified as a cause of the event.</w:t>
      </w:r>
    </w:p>
    <w:p w14:paraId="131CEC4A" w14:textId="23775ACA" w:rsidR="00805229" w:rsidRDefault="00CC09AE" w:rsidP="00805229">
      <w:pPr>
        <w:rPr>
          <w:rFonts w:ascii="Calibri" w:hAnsi="Calibri" w:cs="Calibri"/>
        </w:rPr>
      </w:pPr>
      <w:r w:rsidRPr="00CC09AE">
        <w:rPr>
          <w:rFonts w:ascii="Calibri" w:hAnsi="Calibri" w:cs="Calibri"/>
        </w:rPr>
        <w:t>This event led to a fundamental shift in operational practice: operators now treat low damping observations as actionable indicators, initiating immediate investigation, avoiding vulnerable configurations, and committing additional generating units to enhance damping.</w:t>
      </w:r>
    </w:p>
    <w:p w14:paraId="2ADF578B" w14:textId="5276D929" w:rsidR="00902475" w:rsidRDefault="00902475" w:rsidP="00902475">
      <w:pPr>
        <w:spacing w:before="240" w:line="276" w:lineRule="auto"/>
        <w:rPr>
          <w:rFonts w:ascii="Calibri" w:eastAsia="Aptos" w:hAnsi="Calibri" w:cs="Calibri"/>
          <w:b/>
          <w:bCs/>
        </w:rPr>
      </w:pPr>
      <w:r>
        <w:rPr>
          <w:rFonts w:ascii="Calibri" w:eastAsia="Aptos" w:hAnsi="Calibri" w:cs="Calibri"/>
          <w:b/>
          <w:bCs/>
        </w:rPr>
        <w:t>Reference</w:t>
      </w:r>
    </w:p>
    <w:p w14:paraId="6F389E60" w14:textId="357EA2EA" w:rsidR="00902475" w:rsidRDefault="00902475" w:rsidP="00805229">
      <w:pPr>
        <w:rPr>
          <w:rFonts w:ascii="Calibri" w:hAnsi="Calibri" w:cs="Calibri"/>
        </w:rPr>
      </w:pPr>
      <w:r w:rsidRPr="00902475">
        <w:rPr>
          <w:rFonts w:ascii="Calibri" w:hAnsi="Calibri" w:cs="Calibri"/>
        </w:rPr>
        <w:t>ESO, "Sub-synchronous oscillations in GB - Current state and plans for future management," ESO, 2024</w:t>
      </w:r>
    </w:p>
    <w:p w14:paraId="5188D9D7" w14:textId="63FF5C13" w:rsidR="008B5C61" w:rsidRDefault="008B5C61">
      <w:pPr>
        <w:rPr>
          <w:rFonts w:ascii="Calibri" w:hAnsi="Calibri" w:cs="Calibri"/>
        </w:rPr>
      </w:pPr>
    </w:p>
    <w:sectPr w:rsidR="008B5C6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Ostash, Kevin" w:date="2026-10-15T09:10:00Z" w:initials="KO">
    <w:p w14:paraId="6CAF2536" w14:textId="77777777" w:rsidR="003424F3" w:rsidRDefault="003424F3" w:rsidP="003424F3">
      <w:pPr>
        <w:pStyle w:val="CommentText"/>
      </w:pPr>
      <w:r>
        <w:rPr>
          <w:rStyle w:val="CommentReference"/>
        </w:rPr>
        <w:annotationRef/>
      </w:r>
      <w:r>
        <w:t>Nazra to review and update references section:</w:t>
      </w:r>
      <w:r>
        <w:br/>
      </w:r>
      <w:r>
        <w:br/>
        <w:t>References: Project 2025-03 Order No. 901 Operational Studies — https://www.nerc.com/standards/reliability-standards-under-development/2025-03-order-no.-901-operational-studies; PRC-028-1 — https://www.nerc.com/standards/reliability-standards/prc/prc-028-1; PRC-029-2 — https://www.nerc.com/standards/reliability-standards/prc/prc-029-2; Project 2026-02 Computational Loads — https://www.nerc.com/standards/reliability-standards-under-development/2026-02-computational-loads.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AF25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808154" w16cex:dateUtc="2026-10-15T14: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AF2536" w16cid:durableId="178081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78479" w14:textId="77777777" w:rsidR="0039730B" w:rsidRDefault="0039730B" w:rsidP="001C5075">
      <w:pPr>
        <w:spacing w:after="0" w:line="240" w:lineRule="auto"/>
      </w:pPr>
      <w:r>
        <w:separator/>
      </w:r>
    </w:p>
  </w:endnote>
  <w:endnote w:type="continuationSeparator" w:id="0">
    <w:p w14:paraId="68E8F677" w14:textId="77777777" w:rsidR="0039730B" w:rsidRDefault="0039730B" w:rsidP="001C5075">
      <w:pPr>
        <w:spacing w:after="0" w:line="240" w:lineRule="auto"/>
      </w:pPr>
      <w:r>
        <w:continuationSeparator/>
      </w:r>
    </w:p>
  </w:endnote>
  <w:endnote w:type="continuationNotice" w:id="1">
    <w:p w14:paraId="6B7988E8" w14:textId="77777777" w:rsidR="0039730B" w:rsidRDefault="003973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68635" w14:textId="77777777" w:rsidR="005375D8" w:rsidRDefault="005375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346D9" w14:textId="6CBC2E9D" w:rsidR="00F033DF" w:rsidRDefault="00D85EC6">
    <w:pPr>
      <w:pStyle w:val="Footer"/>
    </w:pPr>
    <w:r>
      <w:t xml:space="preserve">Page </w:t>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A6EF2" w14:textId="77777777" w:rsidR="005375D8" w:rsidRDefault="00537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650C6" w14:textId="77777777" w:rsidR="0039730B" w:rsidRDefault="0039730B" w:rsidP="001C5075">
      <w:pPr>
        <w:spacing w:after="0" w:line="240" w:lineRule="auto"/>
      </w:pPr>
      <w:r>
        <w:separator/>
      </w:r>
    </w:p>
  </w:footnote>
  <w:footnote w:type="continuationSeparator" w:id="0">
    <w:p w14:paraId="72FA9C72" w14:textId="77777777" w:rsidR="0039730B" w:rsidRDefault="0039730B" w:rsidP="001C5075">
      <w:pPr>
        <w:spacing w:after="0" w:line="240" w:lineRule="auto"/>
      </w:pPr>
      <w:r>
        <w:continuationSeparator/>
      </w:r>
    </w:p>
  </w:footnote>
  <w:footnote w:type="continuationNotice" w:id="1">
    <w:p w14:paraId="1C8257C0" w14:textId="77777777" w:rsidR="0039730B" w:rsidRDefault="0039730B">
      <w:pPr>
        <w:spacing w:after="0" w:line="240" w:lineRule="auto"/>
      </w:pPr>
    </w:p>
  </w:footnote>
  <w:footnote w:id="2">
    <w:p w14:paraId="1E0A334D" w14:textId="0E993623" w:rsidR="00A37948" w:rsidRDefault="00A37948">
      <w:pPr>
        <w:pStyle w:val="FootnoteText"/>
      </w:pPr>
      <w:r>
        <w:rPr>
          <w:rStyle w:val="FootnoteReference"/>
        </w:rPr>
        <w:footnoteRef/>
      </w:r>
      <w:r>
        <w:t xml:space="preserve"> This list provides key areas and their connection to real-time </w:t>
      </w:r>
      <w:r w:rsidR="00EA4E59">
        <w:t>stability;</w:t>
      </w:r>
      <w:r>
        <w:t xml:space="preserve"> however</w:t>
      </w:r>
      <w:r w:rsidR="00EA4E59">
        <w:t>,</w:t>
      </w:r>
      <w:r>
        <w:t xml:space="preserve"> it is not an exhaustive or inclusive list of all applicable standards or requirements</w:t>
      </w:r>
      <w:r w:rsidR="00DF16AC">
        <w:t xml:space="preserve"> related to </w:t>
      </w:r>
      <w:r w:rsidR="00957D3B">
        <w:t>the functional areas described in this section</w:t>
      </w:r>
      <w:r>
        <w:t xml:space="preserve">. </w:t>
      </w:r>
      <w:r w:rsidRPr="00A37948">
        <w:t>Additional standards, guidelines, and regulatory obligations may apply depending on specific circumstances, jurisdiction, and system configurations.</w:t>
      </w:r>
    </w:p>
  </w:footnote>
  <w:footnote w:id="3">
    <w:p w14:paraId="735A34DF" w14:textId="77777777" w:rsidR="00105CD2" w:rsidRDefault="00105CD2" w:rsidP="00105CD2">
      <w:pPr>
        <w:pStyle w:val="FootnoteText"/>
      </w:pPr>
      <w:r>
        <w:rPr>
          <w:rStyle w:val="FootnoteReference"/>
        </w:rPr>
        <w:footnoteRef/>
      </w:r>
      <w:r>
        <w:t xml:space="preserve"> </w:t>
      </w:r>
      <w:r w:rsidRPr="000639AB">
        <w:t>https://cigre.ca/papers/2021/paper%20391.pdf</w:t>
      </w:r>
    </w:p>
  </w:footnote>
  <w:footnote w:id="4">
    <w:p w14:paraId="253CF524" w14:textId="77777777" w:rsidR="00105CD2" w:rsidRDefault="00105CD2" w:rsidP="00105CD2">
      <w:pPr>
        <w:pStyle w:val="FootnoteText"/>
      </w:pPr>
      <w:r>
        <w:rPr>
          <w:rStyle w:val="FootnoteReference"/>
        </w:rPr>
        <w:footnoteRef/>
      </w:r>
      <w:r>
        <w:t xml:space="preserve"> </w:t>
      </w:r>
      <w:r w:rsidRPr="000639AB">
        <w:t>https://www.nerc.com/globalassets/who-we-are/standing-committees/rstc/smwg/oscillation_analysis_for_monitoring_and_mitigation_trd.pdf</w:t>
      </w:r>
    </w:p>
  </w:footnote>
  <w:footnote w:id="5">
    <w:p w14:paraId="7306A257" w14:textId="77777777" w:rsidR="00105CD2" w:rsidRDefault="00105CD2" w:rsidP="00105CD2">
      <w:pPr>
        <w:pStyle w:val="FootnoteText"/>
      </w:pPr>
      <w:r>
        <w:rPr>
          <w:rStyle w:val="FootnoteReference"/>
        </w:rPr>
        <w:footnoteRef/>
      </w:r>
      <w:r>
        <w:t xml:space="preserve"> </w:t>
      </w:r>
      <w:r w:rsidRPr="000639AB">
        <w:t>https://www.ercot.com/files/docs/2019/10/02/Interconnection_Oscillation_Analysis_NERC.pdf</w:t>
      </w:r>
    </w:p>
  </w:footnote>
  <w:footnote w:id="6">
    <w:p w14:paraId="31F1E734" w14:textId="77777777" w:rsidR="00105CD2" w:rsidRDefault="00105CD2" w:rsidP="00105CD2">
      <w:pPr>
        <w:pStyle w:val="FootnoteText"/>
      </w:pPr>
      <w:r>
        <w:rPr>
          <w:rStyle w:val="FootnoteReference"/>
        </w:rPr>
        <w:footnoteRef/>
      </w:r>
      <w:r>
        <w:t xml:space="preserve"> </w:t>
      </w:r>
      <w:r w:rsidRPr="000639AB">
        <w:t>https://tsapps.nist.gov/publication/get_pdf.cfm?pub_id=932787</w:t>
      </w:r>
    </w:p>
  </w:footnote>
  <w:footnote w:id="7">
    <w:p w14:paraId="2A970F3A" w14:textId="77777777" w:rsidR="00105CD2" w:rsidRDefault="00105CD2" w:rsidP="00105CD2">
      <w:pPr>
        <w:pStyle w:val="FootnoteText"/>
      </w:pPr>
      <w:r>
        <w:rPr>
          <w:rStyle w:val="FootnoteReference"/>
        </w:rPr>
        <w:footnoteRef/>
      </w:r>
      <w:r>
        <w:t xml:space="preserve"> </w:t>
      </w:r>
      <w:r w:rsidRPr="000639AB">
        <w:t>https://link.springer.com/article/10.1007/s12555-023-0323-9</w:t>
      </w:r>
    </w:p>
  </w:footnote>
  <w:footnote w:id="8">
    <w:p w14:paraId="05F6D1C6" w14:textId="77777777" w:rsidR="00105CD2" w:rsidRDefault="00105CD2" w:rsidP="00105CD2">
      <w:pPr>
        <w:pStyle w:val="FootnoteText"/>
      </w:pPr>
      <w:r>
        <w:rPr>
          <w:rStyle w:val="FootnoteReference"/>
        </w:rPr>
        <w:footnoteRef/>
      </w:r>
      <w:r>
        <w:t xml:space="preserve"> </w:t>
      </w:r>
      <w:r w:rsidRPr="0083551C">
        <w:t>https://www.esig.energy/wp-content/uploads/2024/08/ESIG-Oscillations-Guide-2024.pdf</w:t>
      </w:r>
    </w:p>
  </w:footnote>
  <w:footnote w:id="9">
    <w:p w14:paraId="068296C2" w14:textId="75984BBA" w:rsidR="001250C9" w:rsidRDefault="001250C9">
      <w:pPr>
        <w:pStyle w:val="FootnoteText"/>
      </w:pPr>
      <w:r>
        <w:rPr>
          <w:rStyle w:val="FootnoteReference"/>
        </w:rPr>
        <w:footnoteRef/>
      </w:r>
      <w:r>
        <w:t xml:space="preserve"> </w:t>
      </w:r>
      <w:r w:rsidRPr="001250C9">
        <w:t>https://www.wecc.org/wecc-document/18486</w:t>
      </w:r>
    </w:p>
  </w:footnote>
  <w:footnote w:id="10">
    <w:p w14:paraId="3A0F232D" w14:textId="78382C46" w:rsidR="001250C9" w:rsidRDefault="001250C9">
      <w:pPr>
        <w:pStyle w:val="FootnoteText"/>
      </w:pPr>
      <w:r>
        <w:rPr>
          <w:rStyle w:val="FootnoteReference"/>
        </w:rPr>
        <w:footnoteRef/>
      </w:r>
      <w:r>
        <w:t xml:space="preserve"> </w:t>
      </w:r>
      <w:r w:rsidRPr="001250C9">
        <w:t>https://www.caiso.com/Documents/RC0600A.pdf</w:t>
      </w:r>
    </w:p>
  </w:footnote>
  <w:footnote w:id="11">
    <w:p w14:paraId="3363E2A5" w14:textId="2061C72E" w:rsidR="007554F5" w:rsidRPr="0066466C" w:rsidRDefault="007554F5">
      <w:pPr>
        <w:pStyle w:val="FootnoteText"/>
        <w:rPr>
          <w:rFonts w:ascii="Cambria" w:hAnsi="Cambria"/>
        </w:rPr>
      </w:pPr>
      <w:r w:rsidRPr="0066466C">
        <w:rPr>
          <w:rStyle w:val="FootnoteReference"/>
          <w:rFonts w:ascii="Cambria" w:hAnsi="Cambria"/>
        </w:rPr>
        <w:footnoteRef/>
      </w:r>
      <w:r w:rsidRPr="0066466C">
        <w:rPr>
          <w:rFonts w:ascii="Cambria" w:hAnsi="Cambria"/>
        </w:rPr>
        <w:t xml:space="preserve"> </w:t>
      </w:r>
      <w:r w:rsidRPr="00EA4E59">
        <w:t>Western Interconnection Modeling and Monitoring Common Methodology: https://www.caiso.com/Documents/RC0600A.pdf</w:t>
      </w:r>
    </w:p>
  </w:footnote>
  <w:footnote w:id="12">
    <w:p w14:paraId="2C37F299" w14:textId="12963513" w:rsidR="00031D02" w:rsidRDefault="00031D02">
      <w:pPr>
        <w:pStyle w:val="FootnoteText"/>
      </w:pPr>
      <w:r w:rsidRPr="0066466C">
        <w:rPr>
          <w:rStyle w:val="FootnoteReference"/>
          <w:rFonts w:ascii="Cambria" w:hAnsi="Cambria"/>
        </w:rPr>
        <w:footnoteRef/>
      </w:r>
      <w:r w:rsidRPr="0066466C">
        <w:rPr>
          <w:rFonts w:ascii="Cambria" w:hAnsi="Cambria"/>
        </w:rPr>
        <w:t xml:space="preserve"> </w:t>
      </w:r>
      <w:r w:rsidRPr="005C2D88">
        <w:t>NASPI SAR proposal for real-time stability monitoring: https://naspi.org/sites/default/files/2025-02/NASPI%20SAR%20Proposal%20Revised%20-%20Updated.pdf</w:t>
      </w:r>
    </w:p>
  </w:footnote>
  <w:footnote w:id="13">
    <w:p w14:paraId="4C1E2311" w14:textId="7886DE83" w:rsidR="009D0A3A" w:rsidRDefault="009D0A3A">
      <w:pPr>
        <w:pStyle w:val="FootnoteText"/>
      </w:pPr>
      <w:r>
        <w:rPr>
          <w:rStyle w:val="FootnoteReference"/>
        </w:rPr>
        <w:footnoteRef/>
      </w:r>
      <w:r>
        <w:t xml:space="preserve"> </w:t>
      </w:r>
      <w:r w:rsidRPr="009D0A3A">
        <w:t>https://www.nerc.com/globalassets/standards/documents/2025/ferc-order-901-directives-mapping.pdf</w:t>
      </w:r>
    </w:p>
  </w:footnote>
  <w:footnote w:id="14">
    <w:p w14:paraId="3217D547" w14:textId="4772A820" w:rsidR="00060A9F" w:rsidRDefault="00060A9F">
      <w:pPr>
        <w:pStyle w:val="FootnoteText"/>
      </w:pPr>
      <w:r>
        <w:rPr>
          <w:rStyle w:val="FootnoteReference"/>
        </w:rPr>
        <w:footnoteRef/>
      </w:r>
      <w:r>
        <w:t xml:space="preserve"> </w:t>
      </w:r>
      <w:r w:rsidRPr="00060A9F">
        <w:t>https://keentelengineering.com/nerc-prc-002-5-and-prc-028-1-compliance-explanation-for-gos-and-tos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8E229" w14:textId="77777777" w:rsidR="005375D8" w:rsidRDefault="005375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838169"/>
      <w:docPartObj>
        <w:docPartGallery w:val="Watermarks"/>
        <w:docPartUnique/>
      </w:docPartObj>
    </w:sdtPr>
    <w:sdtContent>
      <w:p w14:paraId="0A7F5FC9" w14:textId="2B10A9CB" w:rsidR="00F033DF" w:rsidRDefault="00000000">
        <w:pPr>
          <w:pStyle w:val="Header"/>
        </w:pPr>
        <w:r>
          <w:rPr>
            <w:noProof/>
          </w:rPr>
          <w:pict w14:anchorId="711DA5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BBA4" w14:textId="77777777" w:rsidR="005375D8" w:rsidRDefault="005375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6AAC"/>
    <w:multiLevelType w:val="multilevel"/>
    <w:tmpl w:val="1F58F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46A2F"/>
    <w:multiLevelType w:val="hybridMultilevel"/>
    <w:tmpl w:val="9D24E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756EA"/>
    <w:multiLevelType w:val="multilevel"/>
    <w:tmpl w:val="0D8E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C0620"/>
    <w:multiLevelType w:val="multilevel"/>
    <w:tmpl w:val="71DE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063F8"/>
    <w:multiLevelType w:val="hybridMultilevel"/>
    <w:tmpl w:val="E61EBB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9589C68">
      <w:numFmt w:val="bullet"/>
      <w:lvlText w:val="•"/>
      <w:lvlJc w:val="left"/>
      <w:pPr>
        <w:ind w:left="2700" w:hanging="720"/>
      </w:pPr>
      <w:rPr>
        <w:rFonts w:ascii="Aptos" w:eastAsia="Aptos" w:hAnsi="Aptos" w:cs="Apto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3253B1"/>
    <w:multiLevelType w:val="multilevel"/>
    <w:tmpl w:val="66486CB0"/>
    <w:lvl w:ilvl="0">
      <w:start w:val="1"/>
      <w:numFmt w:val="none"/>
      <w:pStyle w:val="Heading2"/>
      <w:lvlText w:val="8.3"/>
      <w:lvlJc w:val="left"/>
      <w:pPr>
        <w:ind w:left="720" w:hanging="360"/>
      </w:pPr>
      <w:rPr>
        <w:rFonts w:hint="default"/>
        <w:color w:val="auto"/>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EB4107A"/>
    <w:multiLevelType w:val="multilevel"/>
    <w:tmpl w:val="9A52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7353"/>
    <w:multiLevelType w:val="multilevel"/>
    <w:tmpl w:val="083C4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566308"/>
    <w:multiLevelType w:val="hybridMultilevel"/>
    <w:tmpl w:val="E8D61A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25501D"/>
    <w:multiLevelType w:val="hybridMultilevel"/>
    <w:tmpl w:val="5ADC2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F5D46"/>
    <w:multiLevelType w:val="multilevel"/>
    <w:tmpl w:val="388E0D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54BB2"/>
    <w:multiLevelType w:val="multilevel"/>
    <w:tmpl w:val="768AF52C"/>
    <w:styleLink w:val="Style1"/>
    <w:lvl w:ilvl="0">
      <w:start w:val="9"/>
      <w:numFmt w:val="decimal"/>
      <w:lvlText w:val="%1.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497FE1"/>
    <w:multiLevelType w:val="multilevel"/>
    <w:tmpl w:val="42EC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5221EA"/>
    <w:multiLevelType w:val="multilevel"/>
    <w:tmpl w:val="9F52B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4D4370"/>
    <w:multiLevelType w:val="hybridMultilevel"/>
    <w:tmpl w:val="3984E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5E401D"/>
    <w:multiLevelType w:val="hybridMultilevel"/>
    <w:tmpl w:val="ABE4F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681ACB"/>
    <w:multiLevelType w:val="hybridMultilevel"/>
    <w:tmpl w:val="2236F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86C56"/>
    <w:multiLevelType w:val="hybridMultilevel"/>
    <w:tmpl w:val="04FC79EC"/>
    <w:lvl w:ilvl="0" w:tplc="AF387726">
      <w:start w:val="1"/>
      <w:numFmt w:val="bullet"/>
      <w:lvlText w:val="·"/>
      <w:lvlJc w:val="left"/>
      <w:pPr>
        <w:ind w:left="720" w:hanging="360"/>
      </w:pPr>
      <w:rPr>
        <w:rFonts w:ascii="Symbol" w:hAnsi="Symbol" w:hint="default"/>
      </w:rPr>
    </w:lvl>
    <w:lvl w:ilvl="1" w:tplc="514C38EA">
      <w:start w:val="1"/>
      <w:numFmt w:val="bullet"/>
      <w:lvlText w:val="o"/>
      <w:lvlJc w:val="left"/>
      <w:pPr>
        <w:ind w:left="1440" w:hanging="360"/>
      </w:pPr>
      <w:rPr>
        <w:rFonts w:ascii="Courier New" w:hAnsi="Courier New" w:hint="default"/>
      </w:rPr>
    </w:lvl>
    <w:lvl w:ilvl="2" w:tplc="DA6E29AE">
      <w:start w:val="1"/>
      <w:numFmt w:val="bullet"/>
      <w:lvlText w:val=""/>
      <w:lvlJc w:val="left"/>
      <w:pPr>
        <w:ind w:left="2160" w:hanging="360"/>
      </w:pPr>
      <w:rPr>
        <w:rFonts w:ascii="Wingdings" w:hAnsi="Wingdings" w:hint="default"/>
      </w:rPr>
    </w:lvl>
    <w:lvl w:ilvl="3" w:tplc="599AE5A4">
      <w:start w:val="1"/>
      <w:numFmt w:val="bullet"/>
      <w:lvlText w:val=""/>
      <w:lvlJc w:val="left"/>
      <w:pPr>
        <w:ind w:left="2880" w:hanging="360"/>
      </w:pPr>
      <w:rPr>
        <w:rFonts w:ascii="Symbol" w:hAnsi="Symbol" w:hint="default"/>
      </w:rPr>
    </w:lvl>
    <w:lvl w:ilvl="4" w:tplc="8398BF9A">
      <w:start w:val="1"/>
      <w:numFmt w:val="bullet"/>
      <w:lvlText w:val="o"/>
      <w:lvlJc w:val="left"/>
      <w:pPr>
        <w:ind w:left="3600" w:hanging="360"/>
      </w:pPr>
      <w:rPr>
        <w:rFonts w:ascii="Courier New" w:hAnsi="Courier New" w:hint="default"/>
      </w:rPr>
    </w:lvl>
    <w:lvl w:ilvl="5" w:tplc="EC12EC0E">
      <w:start w:val="1"/>
      <w:numFmt w:val="bullet"/>
      <w:lvlText w:val=""/>
      <w:lvlJc w:val="left"/>
      <w:pPr>
        <w:ind w:left="4320" w:hanging="360"/>
      </w:pPr>
      <w:rPr>
        <w:rFonts w:ascii="Wingdings" w:hAnsi="Wingdings" w:hint="default"/>
      </w:rPr>
    </w:lvl>
    <w:lvl w:ilvl="6" w:tplc="93849C88">
      <w:start w:val="1"/>
      <w:numFmt w:val="bullet"/>
      <w:lvlText w:val=""/>
      <w:lvlJc w:val="left"/>
      <w:pPr>
        <w:ind w:left="5040" w:hanging="360"/>
      </w:pPr>
      <w:rPr>
        <w:rFonts w:ascii="Symbol" w:hAnsi="Symbol" w:hint="default"/>
      </w:rPr>
    </w:lvl>
    <w:lvl w:ilvl="7" w:tplc="7CCE49B0">
      <w:start w:val="1"/>
      <w:numFmt w:val="bullet"/>
      <w:lvlText w:val="o"/>
      <w:lvlJc w:val="left"/>
      <w:pPr>
        <w:ind w:left="5760" w:hanging="360"/>
      </w:pPr>
      <w:rPr>
        <w:rFonts w:ascii="Courier New" w:hAnsi="Courier New" w:hint="default"/>
      </w:rPr>
    </w:lvl>
    <w:lvl w:ilvl="8" w:tplc="378A003C">
      <w:start w:val="1"/>
      <w:numFmt w:val="bullet"/>
      <w:lvlText w:val=""/>
      <w:lvlJc w:val="left"/>
      <w:pPr>
        <w:ind w:left="6480" w:hanging="360"/>
      </w:pPr>
      <w:rPr>
        <w:rFonts w:ascii="Wingdings" w:hAnsi="Wingdings" w:hint="default"/>
      </w:rPr>
    </w:lvl>
  </w:abstractNum>
  <w:abstractNum w:abstractNumId="18" w15:restartNumberingAfterBreak="0">
    <w:nsid w:val="3EDEB5C0"/>
    <w:multiLevelType w:val="hybridMultilevel"/>
    <w:tmpl w:val="FE7A1722"/>
    <w:lvl w:ilvl="0" w:tplc="CBEE1A4A">
      <w:start w:val="1"/>
      <w:numFmt w:val="bullet"/>
      <w:lvlText w:val="·"/>
      <w:lvlJc w:val="left"/>
      <w:pPr>
        <w:ind w:left="720" w:hanging="360"/>
      </w:pPr>
      <w:rPr>
        <w:rFonts w:ascii="Symbol" w:hAnsi="Symbol" w:hint="default"/>
      </w:rPr>
    </w:lvl>
    <w:lvl w:ilvl="1" w:tplc="0E5C5244">
      <w:start w:val="1"/>
      <w:numFmt w:val="bullet"/>
      <w:lvlText w:val="o"/>
      <w:lvlJc w:val="left"/>
      <w:pPr>
        <w:ind w:left="1440" w:hanging="360"/>
      </w:pPr>
      <w:rPr>
        <w:rFonts w:ascii="Courier New" w:hAnsi="Courier New" w:hint="default"/>
      </w:rPr>
    </w:lvl>
    <w:lvl w:ilvl="2" w:tplc="749E489C">
      <w:start w:val="1"/>
      <w:numFmt w:val="bullet"/>
      <w:lvlText w:val=""/>
      <w:lvlJc w:val="left"/>
      <w:pPr>
        <w:ind w:left="2160" w:hanging="360"/>
      </w:pPr>
      <w:rPr>
        <w:rFonts w:ascii="Wingdings" w:hAnsi="Wingdings" w:hint="default"/>
      </w:rPr>
    </w:lvl>
    <w:lvl w:ilvl="3" w:tplc="0C2A07B4">
      <w:start w:val="1"/>
      <w:numFmt w:val="bullet"/>
      <w:lvlText w:val=""/>
      <w:lvlJc w:val="left"/>
      <w:pPr>
        <w:ind w:left="2880" w:hanging="360"/>
      </w:pPr>
      <w:rPr>
        <w:rFonts w:ascii="Symbol" w:hAnsi="Symbol" w:hint="default"/>
      </w:rPr>
    </w:lvl>
    <w:lvl w:ilvl="4" w:tplc="C9E278DC">
      <w:start w:val="1"/>
      <w:numFmt w:val="bullet"/>
      <w:lvlText w:val="o"/>
      <w:lvlJc w:val="left"/>
      <w:pPr>
        <w:ind w:left="3600" w:hanging="360"/>
      </w:pPr>
      <w:rPr>
        <w:rFonts w:ascii="Courier New" w:hAnsi="Courier New" w:hint="default"/>
      </w:rPr>
    </w:lvl>
    <w:lvl w:ilvl="5" w:tplc="25EE9DCA">
      <w:start w:val="1"/>
      <w:numFmt w:val="bullet"/>
      <w:lvlText w:val=""/>
      <w:lvlJc w:val="left"/>
      <w:pPr>
        <w:ind w:left="4320" w:hanging="360"/>
      </w:pPr>
      <w:rPr>
        <w:rFonts w:ascii="Wingdings" w:hAnsi="Wingdings" w:hint="default"/>
      </w:rPr>
    </w:lvl>
    <w:lvl w:ilvl="6" w:tplc="EA7AD930">
      <w:start w:val="1"/>
      <w:numFmt w:val="bullet"/>
      <w:lvlText w:val=""/>
      <w:lvlJc w:val="left"/>
      <w:pPr>
        <w:ind w:left="5040" w:hanging="360"/>
      </w:pPr>
      <w:rPr>
        <w:rFonts w:ascii="Symbol" w:hAnsi="Symbol" w:hint="default"/>
      </w:rPr>
    </w:lvl>
    <w:lvl w:ilvl="7" w:tplc="9C363932">
      <w:start w:val="1"/>
      <w:numFmt w:val="bullet"/>
      <w:lvlText w:val="o"/>
      <w:lvlJc w:val="left"/>
      <w:pPr>
        <w:ind w:left="5760" w:hanging="360"/>
      </w:pPr>
      <w:rPr>
        <w:rFonts w:ascii="Courier New" w:hAnsi="Courier New" w:hint="default"/>
      </w:rPr>
    </w:lvl>
    <w:lvl w:ilvl="8" w:tplc="9ADC829E">
      <w:start w:val="1"/>
      <w:numFmt w:val="bullet"/>
      <w:lvlText w:val=""/>
      <w:lvlJc w:val="left"/>
      <w:pPr>
        <w:ind w:left="6480" w:hanging="360"/>
      </w:pPr>
      <w:rPr>
        <w:rFonts w:ascii="Wingdings" w:hAnsi="Wingdings" w:hint="default"/>
      </w:rPr>
    </w:lvl>
  </w:abstractNum>
  <w:abstractNum w:abstractNumId="19" w15:restartNumberingAfterBreak="0">
    <w:nsid w:val="3FFE34E0"/>
    <w:multiLevelType w:val="multilevel"/>
    <w:tmpl w:val="82207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733DF1"/>
    <w:multiLevelType w:val="hybridMultilevel"/>
    <w:tmpl w:val="EA405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BD638A"/>
    <w:multiLevelType w:val="multilevel"/>
    <w:tmpl w:val="768AF52C"/>
    <w:numStyleLink w:val="Style1"/>
  </w:abstractNum>
  <w:abstractNum w:abstractNumId="22" w15:restartNumberingAfterBreak="0">
    <w:nsid w:val="494638A3"/>
    <w:multiLevelType w:val="multilevel"/>
    <w:tmpl w:val="F9E6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FD7304"/>
    <w:multiLevelType w:val="multilevel"/>
    <w:tmpl w:val="4132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A81418"/>
    <w:multiLevelType w:val="multilevel"/>
    <w:tmpl w:val="EA88F28C"/>
    <w:lvl w:ilvl="0">
      <w:start w:val="3"/>
      <w:numFmt w:val="decimal"/>
      <w:lvlText w:val="%1.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40337B6"/>
    <w:multiLevelType w:val="multilevel"/>
    <w:tmpl w:val="1DAC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C17DBF"/>
    <w:multiLevelType w:val="hybridMultilevel"/>
    <w:tmpl w:val="CF14C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5C55E6"/>
    <w:multiLevelType w:val="hybridMultilevel"/>
    <w:tmpl w:val="4EFEF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9417DB"/>
    <w:multiLevelType w:val="multilevel"/>
    <w:tmpl w:val="A122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E312F5"/>
    <w:multiLevelType w:val="multilevel"/>
    <w:tmpl w:val="C8CE1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F37913"/>
    <w:multiLevelType w:val="hybridMultilevel"/>
    <w:tmpl w:val="D2D0FA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5673677">
    <w:abstractNumId w:val="30"/>
  </w:num>
  <w:num w:numId="2" w16cid:durableId="787237932">
    <w:abstractNumId w:val="1"/>
  </w:num>
  <w:num w:numId="3" w16cid:durableId="2115202387">
    <w:abstractNumId w:val="26"/>
  </w:num>
  <w:num w:numId="4" w16cid:durableId="178812703">
    <w:abstractNumId w:val="9"/>
  </w:num>
  <w:num w:numId="5" w16cid:durableId="938677207">
    <w:abstractNumId w:val="4"/>
  </w:num>
  <w:num w:numId="6" w16cid:durableId="1727027216">
    <w:abstractNumId w:val="15"/>
  </w:num>
  <w:num w:numId="7" w16cid:durableId="77793590">
    <w:abstractNumId w:val="8"/>
  </w:num>
  <w:num w:numId="8" w16cid:durableId="1043091377">
    <w:abstractNumId w:val="7"/>
  </w:num>
  <w:num w:numId="9" w16cid:durableId="131754011">
    <w:abstractNumId w:val="10"/>
  </w:num>
  <w:num w:numId="10" w16cid:durableId="1051613495">
    <w:abstractNumId w:val="27"/>
  </w:num>
  <w:num w:numId="11" w16cid:durableId="171455025">
    <w:abstractNumId w:val="16"/>
  </w:num>
  <w:num w:numId="12" w16cid:durableId="631863015">
    <w:abstractNumId w:val="20"/>
  </w:num>
  <w:num w:numId="13" w16cid:durableId="1385910497">
    <w:abstractNumId w:val="13"/>
  </w:num>
  <w:num w:numId="14" w16cid:durableId="1448818448">
    <w:abstractNumId w:val="29"/>
  </w:num>
  <w:num w:numId="15" w16cid:durableId="234357568">
    <w:abstractNumId w:val="24"/>
  </w:num>
  <w:num w:numId="16" w16cid:durableId="980771700">
    <w:abstractNumId w:val="18"/>
  </w:num>
  <w:num w:numId="17" w16cid:durableId="322202368">
    <w:abstractNumId w:val="17"/>
  </w:num>
  <w:num w:numId="18" w16cid:durableId="561599839">
    <w:abstractNumId w:val="11"/>
  </w:num>
  <w:num w:numId="19" w16cid:durableId="204145562">
    <w:abstractNumId w:val="5"/>
  </w:num>
  <w:num w:numId="20" w16cid:durableId="235634527">
    <w:abstractNumId w:val="14"/>
  </w:num>
  <w:num w:numId="21" w16cid:durableId="1781871102">
    <w:abstractNumId w:val="21"/>
    <w:lvlOverride w:ilvl="0">
      <w:lvl w:ilvl="0">
        <w:start w:val="9"/>
        <w:numFmt w:val="none"/>
        <w:lvlText w:val="7.3"/>
        <w:lvlJc w:val="left"/>
        <w:pPr>
          <w:ind w:left="630" w:hanging="360"/>
        </w:pPr>
        <w:rPr>
          <w:rFonts w:hint="default"/>
          <w:color w:val="auto"/>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2" w16cid:durableId="1877111883">
    <w:abstractNumId w:val="21"/>
    <w:lvlOverride w:ilvl="0">
      <w:lvl w:ilvl="0">
        <w:start w:val="9"/>
        <w:numFmt w:val="none"/>
        <w:lvlText w:val="7.3"/>
        <w:lvlJc w:val="left"/>
        <w:pPr>
          <w:ind w:left="720" w:hanging="360"/>
        </w:pPr>
        <w:rPr>
          <w:rFonts w:hint="default"/>
          <w:color w:val="auto"/>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16cid:durableId="311373604">
    <w:abstractNumId w:val="21"/>
    <w:lvlOverride w:ilvl="0">
      <w:lvl w:ilvl="0">
        <w:start w:val="9"/>
        <w:numFmt w:val="none"/>
        <w:lvlText w:val="7.4"/>
        <w:lvlJc w:val="left"/>
        <w:pPr>
          <w:ind w:left="720" w:hanging="360"/>
        </w:pPr>
        <w:rPr>
          <w:rFonts w:hint="default"/>
          <w:color w:val="auto"/>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4" w16cid:durableId="489714018">
    <w:abstractNumId w:val="21"/>
    <w:lvlOverride w:ilvl="0">
      <w:lvl w:ilvl="0">
        <w:start w:val="9"/>
        <w:numFmt w:val="none"/>
        <w:lvlText w:val="7.1"/>
        <w:lvlJc w:val="left"/>
        <w:pPr>
          <w:ind w:left="720" w:hanging="360"/>
        </w:pPr>
        <w:rPr>
          <w:rFonts w:hint="default"/>
          <w:color w:val="auto"/>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5" w16cid:durableId="75638069">
    <w:abstractNumId w:val="21"/>
    <w:lvlOverride w:ilvl="0">
      <w:lvl w:ilvl="0">
        <w:start w:val="9"/>
        <w:numFmt w:val="decimal"/>
        <w:lvlText w:val="%1.1"/>
        <w:lvlJc w:val="left"/>
        <w:pPr>
          <w:ind w:left="720" w:hanging="360"/>
        </w:pPr>
        <w:rPr>
          <w:rFonts w:hint="default"/>
          <w:color w:val="auto"/>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6" w16cid:durableId="657851931">
    <w:abstractNumId w:val="5"/>
  </w:num>
  <w:num w:numId="27" w16cid:durableId="1776947211">
    <w:abstractNumId w:val="5"/>
  </w:num>
  <w:num w:numId="28" w16cid:durableId="2140876056">
    <w:abstractNumId w:val="5"/>
  </w:num>
  <w:num w:numId="29" w16cid:durableId="2093769765">
    <w:abstractNumId w:val="5"/>
  </w:num>
  <w:num w:numId="30" w16cid:durableId="396976794">
    <w:abstractNumId w:val="5"/>
  </w:num>
  <w:num w:numId="31" w16cid:durableId="130101834">
    <w:abstractNumId w:val="25"/>
  </w:num>
  <w:num w:numId="32" w16cid:durableId="2019236451">
    <w:abstractNumId w:val="28"/>
  </w:num>
  <w:num w:numId="33" w16cid:durableId="1794245979">
    <w:abstractNumId w:val="2"/>
  </w:num>
  <w:num w:numId="34" w16cid:durableId="455877056">
    <w:abstractNumId w:val="6"/>
  </w:num>
  <w:num w:numId="35" w16cid:durableId="89012627">
    <w:abstractNumId w:val="23"/>
  </w:num>
  <w:num w:numId="36" w16cid:durableId="1884442463">
    <w:abstractNumId w:val="3"/>
  </w:num>
  <w:num w:numId="37" w16cid:durableId="1600210851">
    <w:abstractNumId w:val="22"/>
  </w:num>
  <w:num w:numId="38" w16cid:durableId="592320557">
    <w:abstractNumId w:val="0"/>
  </w:num>
  <w:num w:numId="39" w16cid:durableId="328564473">
    <w:abstractNumId w:val="12"/>
  </w:num>
  <w:num w:numId="40" w16cid:durableId="208156035">
    <w:abstractNumId w:val="19"/>
  </w:num>
  <w:num w:numId="41" w16cid:durableId="46687996">
    <w:abstractNumId w:val="5"/>
  </w:num>
  <w:num w:numId="42" w16cid:durableId="1329747303">
    <w:abstractNumId w:val="5"/>
  </w:num>
  <w:num w:numId="43" w16cid:durableId="1132283529">
    <w:abstractNumId w:val="5"/>
  </w:num>
  <w:num w:numId="44" w16cid:durableId="1064376043">
    <w:abstractNumId w:val="5"/>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stash, Kevin">
    <w15:presenceInfo w15:providerId="AD" w15:userId="S::kjostash@hydro.mb.ca::4afc6b0a-eb99-4c95-b367-dcd5cd46a8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9EC"/>
    <w:rsid w:val="0000554F"/>
    <w:rsid w:val="00006051"/>
    <w:rsid w:val="00007E5E"/>
    <w:rsid w:val="00010808"/>
    <w:rsid w:val="00011CC6"/>
    <w:rsid w:val="00012B49"/>
    <w:rsid w:val="00013735"/>
    <w:rsid w:val="000165CE"/>
    <w:rsid w:val="000223C2"/>
    <w:rsid w:val="00022E1C"/>
    <w:rsid w:val="00023A6D"/>
    <w:rsid w:val="00023D03"/>
    <w:rsid w:val="000255F4"/>
    <w:rsid w:val="000305DD"/>
    <w:rsid w:val="00031D02"/>
    <w:rsid w:val="000324F0"/>
    <w:rsid w:val="00037A42"/>
    <w:rsid w:val="00041B49"/>
    <w:rsid w:val="00042A2C"/>
    <w:rsid w:val="00043261"/>
    <w:rsid w:val="000434E4"/>
    <w:rsid w:val="000542A0"/>
    <w:rsid w:val="00060A9F"/>
    <w:rsid w:val="00060C9E"/>
    <w:rsid w:val="00060DEF"/>
    <w:rsid w:val="00061462"/>
    <w:rsid w:val="00063628"/>
    <w:rsid w:val="000639AB"/>
    <w:rsid w:val="00064B99"/>
    <w:rsid w:val="00066A5B"/>
    <w:rsid w:val="00072DF7"/>
    <w:rsid w:val="00073FB9"/>
    <w:rsid w:val="00075F68"/>
    <w:rsid w:val="0007679A"/>
    <w:rsid w:val="00076C93"/>
    <w:rsid w:val="00084563"/>
    <w:rsid w:val="000849DB"/>
    <w:rsid w:val="00086AC6"/>
    <w:rsid w:val="00087D0E"/>
    <w:rsid w:val="00097551"/>
    <w:rsid w:val="000A2211"/>
    <w:rsid w:val="000A307D"/>
    <w:rsid w:val="000A4D2A"/>
    <w:rsid w:val="000A53E3"/>
    <w:rsid w:val="000B1CE6"/>
    <w:rsid w:val="000B2245"/>
    <w:rsid w:val="000B2B49"/>
    <w:rsid w:val="000B3D37"/>
    <w:rsid w:val="000B746F"/>
    <w:rsid w:val="000C0824"/>
    <w:rsid w:val="000C113B"/>
    <w:rsid w:val="000C1D85"/>
    <w:rsid w:val="000D556E"/>
    <w:rsid w:val="000D64B7"/>
    <w:rsid w:val="000D6DDD"/>
    <w:rsid w:val="000E1D1B"/>
    <w:rsid w:val="000E21BD"/>
    <w:rsid w:val="000E26B1"/>
    <w:rsid w:val="000E6546"/>
    <w:rsid w:val="000F0397"/>
    <w:rsid w:val="000F0743"/>
    <w:rsid w:val="000F2CEC"/>
    <w:rsid w:val="001016DB"/>
    <w:rsid w:val="001057C1"/>
    <w:rsid w:val="00105CD2"/>
    <w:rsid w:val="00105E9B"/>
    <w:rsid w:val="00105FE8"/>
    <w:rsid w:val="00106102"/>
    <w:rsid w:val="001077F9"/>
    <w:rsid w:val="001104D7"/>
    <w:rsid w:val="00114205"/>
    <w:rsid w:val="0011469D"/>
    <w:rsid w:val="0011686D"/>
    <w:rsid w:val="0012359A"/>
    <w:rsid w:val="001250C9"/>
    <w:rsid w:val="00125232"/>
    <w:rsid w:val="00126A26"/>
    <w:rsid w:val="00127C3F"/>
    <w:rsid w:val="001302AB"/>
    <w:rsid w:val="0013229C"/>
    <w:rsid w:val="00132A62"/>
    <w:rsid w:val="00136007"/>
    <w:rsid w:val="00137A62"/>
    <w:rsid w:val="00141A70"/>
    <w:rsid w:val="001529CE"/>
    <w:rsid w:val="00154B09"/>
    <w:rsid w:val="001551F9"/>
    <w:rsid w:val="00156954"/>
    <w:rsid w:val="00156C27"/>
    <w:rsid w:val="00162D36"/>
    <w:rsid w:val="00162DBD"/>
    <w:rsid w:val="00164227"/>
    <w:rsid w:val="00164247"/>
    <w:rsid w:val="001705D5"/>
    <w:rsid w:val="00173534"/>
    <w:rsid w:val="001736C8"/>
    <w:rsid w:val="00173BA4"/>
    <w:rsid w:val="00175F28"/>
    <w:rsid w:val="001825CD"/>
    <w:rsid w:val="00190132"/>
    <w:rsid w:val="00191556"/>
    <w:rsid w:val="00193E82"/>
    <w:rsid w:val="00194BDC"/>
    <w:rsid w:val="00194EBE"/>
    <w:rsid w:val="001A0683"/>
    <w:rsid w:val="001A178C"/>
    <w:rsid w:val="001A3547"/>
    <w:rsid w:val="001A6D2A"/>
    <w:rsid w:val="001B37F1"/>
    <w:rsid w:val="001B4205"/>
    <w:rsid w:val="001B512C"/>
    <w:rsid w:val="001C28E1"/>
    <w:rsid w:val="001C4AE6"/>
    <w:rsid w:val="001C5075"/>
    <w:rsid w:val="001C76E5"/>
    <w:rsid w:val="001D0AF3"/>
    <w:rsid w:val="001E090E"/>
    <w:rsid w:val="001E2E3F"/>
    <w:rsid w:val="001E65C2"/>
    <w:rsid w:val="001E6B56"/>
    <w:rsid w:val="001F35F8"/>
    <w:rsid w:val="001F5019"/>
    <w:rsid w:val="001F5330"/>
    <w:rsid w:val="001F5CF4"/>
    <w:rsid w:val="001F73E7"/>
    <w:rsid w:val="00200D30"/>
    <w:rsid w:val="00206847"/>
    <w:rsid w:val="00206C53"/>
    <w:rsid w:val="00212253"/>
    <w:rsid w:val="00214C4F"/>
    <w:rsid w:val="00220340"/>
    <w:rsid w:val="00220444"/>
    <w:rsid w:val="0022122B"/>
    <w:rsid w:val="00224525"/>
    <w:rsid w:val="00224BB5"/>
    <w:rsid w:val="002302CA"/>
    <w:rsid w:val="00230368"/>
    <w:rsid w:val="00230DA5"/>
    <w:rsid w:val="002339B2"/>
    <w:rsid w:val="00242074"/>
    <w:rsid w:val="002453DA"/>
    <w:rsid w:val="002569BA"/>
    <w:rsid w:val="002624D9"/>
    <w:rsid w:val="002646C0"/>
    <w:rsid w:val="002666CC"/>
    <w:rsid w:val="00271CCE"/>
    <w:rsid w:val="0027204D"/>
    <w:rsid w:val="0027221F"/>
    <w:rsid w:val="00277E3D"/>
    <w:rsid w:val="00284426"/>
    <w:rsid w:val="00286A2C"/>
    <w:rsid w:val="0028730E"/>
    <w:rsid w:val="00290E1C"/>
    <w:rsid w:val="00291074"/>
    <w:rsid w:val="0029121D"/>
    <w:rsid w:val="00296485"/>
    <w:rsid w:val="002A31BC"/>
    <w:rsid w:val="002A44B0"/>
    <w:rsid w:val="002A6FCD"/>
    <w:rsid w:val="002B07B7"/>
    <w:rsid w:val="002B1AD4"/>
    <w:rsid w:val="002B20E7"/>
    <w:rsid w:val="002C0534"/>
    <w:rsid w:val="002C2C91"/>
    <w:rsid w:val="002C3ED5"/>
    <w:rsid w:val="002C52E0"/>
    <w:rsid w:val="002D3729"/>
    <w:rsid w:val="002D7ADB"/>
    <w:rsid w:val="002E12DD"/>
    <w:rsid w:val="002E14E8"/>
    <w:rsid w:val="002E19AD"/>
    <w:rsid w:val="002E2213"/>
    <w:rsid w:val="002E2E93"/>
    <w:rsid w:val="002E31D5"/>
    <w:rsid w:val="002E5F9E"/>
    <w:rsid w:val="002E7216"/>
    <w:rsid w:val="002E73E8"/>
    <w:rsid w:val="002F0C12"/>
    <w:rsid w:val="00300BE2"/>
    <w:rsid w:val="003019C2"/>
    <w:rsid w:val="00302680"/>
    <w:rsid w:val="00304D17"/>
    <w:rsid w:val="00304E55"/>
    <w:rsid w:val="00305443"/>
    <w:rsid w:val="0031135C"/>
    <w:rsid w:val="00316BA0"/>
    <w:rsid w:val="00317874"/>
    <w:rsid w:val="00320385"/>
    <w:rsid w:val="003207AE"/>
    <w:rsid w:val="00320875"/>
    <w:rsid w:val="003218AF"/>
    <w:rsid w:val="00322AAF"/>
    <w:rsid w:val="00323A48"/>
    <w:rsid w:val="00332E19"/>
    <w:rsid w:val="003366C6"/>
    <w:rsid w:val="00341DB2"/>
    <w:rsid w:val="003424F3"/>
    <w:rsid w:val="0034386E"/>
    <w:rsid w:val="00343FF3"/>
    <w:rsid w:val="00344BF5"/>
    <w:rsid w:val="00346BA5"/>
    <w:rsid w:val="00347577"/>
    <w:rsid w:val="003515B0"/>
    <w:rsid w:val="00352DCF"/>
    <w:rsid w:val="00355089"/>
    <w:rsid w:val="003557C9"/>
    <w:rsid w:val="00360F77"/>
    <w:rsid w:val="00363A25"/>
    <w:rsid w:val="00366651"/>
    <w:rsid w:val="003707CD"/>
    <w:rsid w:val="00372C6B"/>
    <w:rsid w:val="003744A7"/>
    <w:rsid w:val="00376347"/>
    <w:rsid w:val="00377673"/>
    <w:rsid w:val="0038065C"/>
    <w:rsid w:val="00380F7C"/>
    <w:rsid w:val="0038466C"/>
    <w:rsid w:val="0038530E"/>
    <w:rsid w:val="0039025C"/>
    <w:rsid w:val="003927F6"/>
    <w:rsid w:val="00393336"/>
    <w:rsid w:val="0039730B"/>
    <w:rsid w:val="00397765"/>
    <w:rsid w:val="003A13F0"/>
    <w:rsid w:val="003A1AA3"/>
    <w:rsid w:val="003A1D5B"/>
    <w:rsid w:val="003A2835"/>
    <w:rsid w:val="003A61B3"/>
    <w:rsid w:val="003B5189"/>
    <w:rsid w:val="003B612A"/>
    <w:rsid w:val="003C0856"/>
    <w:rsid w:val="003C22EF"/>
    <w:rsid w:val="003C58AC"/>
    <w:rsid w:val="003C68D9"/>
    <w:rsid w:val="003C79EB"/>
    <w:rsid w:val="003D7ACA"/>
    <w:rsid w:val="003E4066"/>
    <w:rsid w:val="003E4B42"/>
    <w:rsid w:val="003E55ED"/>
    <w:rsid w:val="003F04A9"/>
    <w:rsid w:val="0040162E"/>
    <w:rsid w:val="0040165B"/>
    <w:rsid w:val="0040178A"/>
    <w:rsid w:val="004035B6"/>
    <w:rsid w:val="00403A2D"/>
    <w:rsid w:val="00407B38"/>
    <w:rsid w:val="004118BC"/>
    <w:rsid w:val="00413A38"/>
    <w:rsid w:val="004239CA"/>
    <w:rsid w:val="00423B30"/>
    <w:rsid w:val="0042622D"/>
    <w:rsid w:val="004306C6"/>
    <w:rsid w:val="004314D4"/>
    <w:rsid w:val="004372A4"/>
    <w:rsid w:val="00443135"/>
    <w:rsid w:val="00444130"/>
    <w:rsid w:val="0044600C"/>
    <w:rsid w:val="00447048"/>
    <w:rsid w:val="00462744"/>
    <w:rsid w:val="004727C5"/>
    <w:rsid w:val="00474C43"/>
    <w:rsid w:val="00474F1B"/>
    <w:rsid w:val="004774B7"/>
    <w:rsid w:val="004836EA"/>
    <w:rsid w:val="00490DB8"/>
    <w:rsid w:val="0049731A"/>
    <w:rsid w:val="004A0CF2"/>
    <w:rsid w:val="004A2CBE"/>
    <w:rsid w:val="004A3F95"/>
    <w:rsid w:val="004A644F"/>
    <w:rsid w:val="004A6770"/>
    <w:rsid w:val="004B660F"/>
    <w:rsid w:val="004B6E41"/>
    <w:rsid w:val="004C0D83"/>
    <w:rsid w:val="004C2571"/>
    <w:rsid w:val="004C3926"/>
    <w:rsid w:val="004C6713"/>
    <w:rsid w:val="004C6D26"/>
    <w:rsid w:val="004C76CA"/>
    <w:rsid w:val="004D0D0C"/>
    <w:rsid w:val="004D1C49"/>
    <w:rsid w:val="004D3B21"/>
    <w:rsid w:val="004D3FFB"/>
    <w:rsid w:val="004E03B7"/>
    <w:rsid w:val="004E0889"/>
    <w:rsid w:val="004E209A"/>
    <w:rsid w:val="004E4648"/>
    <w:rsid w:val="004E5D3D"/>
    <w:rsid w:val="004E761B"/>
    <w:rsid w:val="004F0FA5"/>
    <w:rsid w:val="004F1B58"/>
    <w:rsid w:val="004F49A5"/>
    <w:rsid w:val="004F5CCE"/>
    <w:rsid w:val="004F6459"/>
    <w:rsid w:val="004F75C7"/>
    <w:rsid w:val="0050129B"/>
    <w:rsid w:val="00503158"/>
    <w:rsid w:val="00507143"/>
    <w:rsid w:val="005073BF"/>
    <w:rsid w:val="0051045D"/>
    <w:rsid w:val="00510B7E"/>
    <w:rsid w:val="00512903"/>
    <w:rsid w:val="00512B36"/>
    <w:rsid w:val="00515A4B"/>
    <w:rsid w:val="00522435"/>
    <w:rsid w:val="00523CC8"/>
    <w:rsid w:val="00523E11"/>
    <w:rsid w:val="005243E8"/>
    <w:rsid w:val="00524CB5"/>
    <w:rsid w:val="005259FD"/>
    <w:rsid w:val="00527B6B"/>
    <w:rsid w:val="00534DD3"/>
    <w:rsid w:val="0053532C"/>
    <w:rsid w:val="0053555F"/>
    <w:rsid w:val="005362A0"/>
    <w:rsid w:val="005375D8"/>
    <w:rsid w:val="00540F8F"/>
    <w:rsid w:val="005413F2"/>
    <w:rsid w:val="0054429E"/>
    <w:rsid w:val="005473A6"/>
    <w:rsid w:val="0055047B"/>
    <w:rsid w:val="00550AAC"/>
    <w:rsid w:val="00552B7D"/>
    <w:rsid w:val="0055311A"/>
    <w:rsid w:val="005542EC"/>
    <w:rsid w:val="0055529D"/>
    <w:rsid w:val="00556889"/>
    <w:rsid w:val="00560F85"/>
    <w:rsid w:val="00563FD0"/>
    <w:rsid w:val="00564596"/>
    <w:rsid w:val="00572EA7"/>
    <w:rsid w:val="00574C19"/>
    <w:rsid w:val="00574F70"/>
    <w:rsid w:val="005753A2"/>
    <w:rsid w:val="005762F5"/>
    <w:rsid w:val="00576FA6"/>
    <w:rsid w:val="005777D5"/>
    <w:rsid w:val="0058094E"/>
    <w:rsid w:val="005830D5"/>
    <w:rsid w:val="00584608"/>
    <w:rsid w:val="00584A1D"/>
    <w:rsid w:val="00585685"/>
    <w:rsid w:val="005918D8"/>
    <w:rsid w:val="005938B6"/>
    <w:rsid w:val="005943F4"/>
    <w:rsid w:val="0059464F"/>
    <w:rsid w:val="005967BC"/>
    <w:rsid w:val="005A7012"/>
    <w:rsid w:val="005A7C59"/>
    <w:rsid w:val="005B0993"/>
    <w:rsid w:val="005B175F"/>
    <w:rsid w:val="005B343F"/>
    <w:rsid w:val="005B39A3"/>
    <w:rsid w:val="005B532F"/>
    <w:rsid w:val="005C0B12"/>
    <w:rsid w:val="005C0C2E"/>
    <w:rsid w:val="005C0E88"/>
    <w:rsid w:val="005C11D7"/>
    <w:rsid w:val="005C2D88"/>
    <w:rsid w:val="005C4B4D"/>
    <w:rsid w:val="005C4DE2"/>
    <w:rsid w:val="005C7D82"/>
    <w:rsid w:val="005C7E93"/>
    <w:rsid w:val="005D0AF5"/>
    <w:rsid w:val="005D0B3B"/>
    <w:rsid w:val="005D3431"/>
    <w:rsid w:val="005D545E"/>
    <w:rsid w:val="005D769B"/>
    <w:rsid w:val="005E110F"/>
    <w:rsid w:val="005E1B05"/>
    <w:rsid w:val="005E5EB2"/>
    <w:rsid w:val="005F0E06"/>
    <w:rsid w:val="0060188B"/>
    <w:rsid w:val="00601E75"/>
    <w:rsid w:val="006020CB"/>
    <w:rsid w:val="0060265C"/>
    <w:rsid w:val="006039F4"/>
    <w:rsid w:val="00607186"/>
    <w:rsid w:val="006106A7"/>
    <w:rsid w:val="00610984"/>
    <w:rsid w:val="00612909"/>
    <w:rsid w:val="00616D57"/>
    <w:rsid w:val="00620914"/>
    <w:rsid w:val="00620D27"/>
    <w:rsid w:val="00621368"/>
    <w:rsid w:val="00622A60"/>
    <w:rsid w:val="00625D11"/>
    <w:rsid w:val="00631A7B"/>
    <w:rsid w:val="006359EF"/>
    <w:rsid w:val="0063709C"/>
    <w:rsid w:val="006372AD"/>
    <w:rsid w:val="0063775B"/>
    <w:rsid w:val="00642A33"/>
    <w:rsid w:val="00642DE1"/>
    <w:rsid w:val="00643277"/>
    <w:rsid w:val="006446B8"/>
    <w:rsid w:val="00646BB8"/>
    <w:rsid w:val="00650529"/>
    <w:rsid w:val="00652F10"/>
    <w:rsid w:val="006546A5"/>
    <w:rsid w:val="00655009"/>
    <w:rsid w:val="006620BE"/>
    <w:rsid w:val="006622BE"/>
    <w:rsid w:val="00663AB6"/>
    <w:rsid w:val="0066466C"/>
    <w:rsid w:val="0066474A"/>
    <w:rsid w:val="00664C70"/>
    <w:rsid w:val="00665F69"/>
    <w:rsid w:val="0066655B"/>
    <w:rsid w:val="0066743C"/>
    <w:rsid w:val="00667A53"/>
    <w:rsid w:val="00667E82"/>
    <w:rsid w:val="006778FD"/>
    <w:rsid w:val="006803B2"/>
    <w:rsid w:val="0068269C"/>
    <w:rsid w:val="00682F4E"/>
    <w:rsid w:val="00685195"/>
    <w:rsid w:val="006853BE"/>
    <w:rsid w:val="0069329E"/>
    <w:rsid w:val="0069578B"/>
    <w:rsid w:val="00695F40"/>
    <w:rsid w:val="00697C23"/>
    <w:rsid w:val="006A02A7"/>
    <w:rsid w:val="006A150E"/>
    <w:rsid w:val="006A32B2"/>
    <w:rsid w:val="006A5EEB"/>
    <w:rsid w:val="006B763C"/>
    <w:rsid w:val="006C0521"/>
    <w:rsid w:val="006C108B"/>
    <w:rsid w:val="006C1546"/>
    <w:rsid w:val="006C7B0C"/>
    <w:rsid w:val="006D08E6"/>
    <w:rsid w:val="006D1035"/>
    <w:rsid w:val="006D1A0B"/>
    <w:rsid w:val="006D3584"/>
    <w:rsid w:val="006D54DE"/>
    <w:rsid w:val="006D5637"/>
    <w:rsid w:val="006D6FC3"/>
    <w:rsid w:val="006D7158"/>
    <w:rsid w:val="006D7B9D"/>
    <w:rsid w:val="006E03D7"/>
    <w:rsid w:val="006E2255"/>
    <w:rsid w:val="006E4469"/>
    <w:rsid w:val="006E4C83"/>
    <w:rsid w:val="006E4EBD"/>
    <w:rsid w:val="006E5FCF"/>
    <w:rsid w:val="006E6032"/>
    <w:rsid w:val="006F1243"/>
    <w:rsid w:val="006F1451"/>
    <w:rsid w:val="006F1884"/>
    <w:rsid w:val="006F50D8"/>
    <w:rsid w:val="00700DD2"/>
    <w:rsid w:val="007014A1"/>
    <w:rsid w:val="007018F7"/>
    <w:rsid w:val="007044A2"/>
    <w:rsid w:val="007100E0"/>
    <w:rsid w:val="00710AEF"/>
    <w:rsid w:val="0071226A"/>
    <w:rsid w:val="00712718"/>
    <w:rsid w:val="00712EE0"/>
    <w:rsid w:val="00714200"/>
    <w:rsid w:val="007153A7"/>
    <w:rsid w:val="00715B59"/>
    <w:rsid w:val="007169E2"/>
    <w:rsid w:val="00717B49"/>
    <w:rsid w:val="007200A1"/>
    <w:rsid w:val="007216C4"/>
    <w:rsid w:val="007220EF"/>
    <w:rsid w:val="00722252"/>
    <w:rsid w:val="00725244"/>
    <w:rsid w:val="0072594B"/>
    <w:rsid w:val="00725A2E"/>
    <w:rsid w:val="00726C7D"/>
    <w:rsid w:val="00727C73"/>
    <w:rsid w:val="00734A65"/>
    <w:rsid w:val="00734C7D"/>
    <w:rsid w:val="007350A4"/>
    <w:rsid w:val="0073551C"/>
    <w:rsid w:val="0073584C"/>
    <w:rsid w:val="00735AAF"/>
    <w:rsid w:val="007416A1"/>
    <w:rsid w:val="0074233F"/>
    <w:rsid w:val="007430A4"/>
    <w:rsid w:val="00744F08"/>
    <w:rsid w:val="00745CC6"/>
    <w:rsid w:val="00751D59"/>
    <w:rsid w:val="007554F5"/>
    <w:rsid w:val="00766A76"/>
    <w:rsid w:val="00766DC9"/>
    <w:rsid w:val="0076731A"/>
    <w:rsid w:val="00774DBA"/>
    <w:rsid w:val="00775FA1"/>
    <w:rsid w:val="00780273"/>
    <w:rsid w:val="0078109E"/>
    <w:rsid w:val="00781A4D"/>
    <w:rsid w:val="00787AF4"/>
    <w:rsid w:val="00793980"/>
    <w:rsid w:val="00796598"/>
    <w:rsid w:val="007A1361"/>
    <w:rsid w:val="007A1B21"/>
    <w:rsid w:val="007A23C1"/>
    <w:rsid w:val="007A2AEC"/>
    <w:rsid w:val="007A6399"/>
    <w:rsid w:val="007B2B85"/>
    <w:rsid w:val="007B4411"/>
    <w:rsid w:val="007B45FA"/>
    <w:rsid w:val="007B693B"/>
    <w:rsid w:val="007B7331"/>
    <w:rsid w:val="007C2380"/>
    <w:rsid w:val="007C646A"/>
    <w:rsid w:val="007C64E8"/>
    <w:rsid w:val="007C66FC"/>
    <w:rsid w:val="007D28D5"/>
    <w:rsid w:val="007D4065"/>
    <w:rsid w:val="007D45CB"/>
    <w:rsid w:val="007D5E5E"/>
    <w:rsid w:val="007D78F5"/>
    <w:rsid w:val="007E4641"/>
    <w:rsid w:val="007E4985"/>
    <w:rsid w:val="007E5671"/>
    <w:rsid w:val="007E6B03"/>
    <w:rsid w:val="007E7FF8"/>
    <w:rsid w:val="007F0062"/>
    <w:rsid w:val="007F2086"/>
    <w:rsid w:val="007F259E"/>
    <w:rsid w:val="007F3013"/>
    <w:rsid w:val="007F3BC8"/>
    <w:rsid w:val="007F46A1"/>
    <w:rsid w:val="007F5253"/>
    <w:rsid w:val="007F5CC3"/>
    <w:rsid w:val="007F7A6A"/>
    <w:rsid w:val="00801757"/>
    <w:rsid w:val="00803117"/>
    <w:rsid w:val="00803D08"/>
    <w:rsid w:val="008040E0"/>
    <w:rsid w:val="00804486"/>
    <w:rsid w:val="00805229"/>
    <w:rsid w:val="00806463"/>
    <w:rsid w:val="00807827"/>
    <w:rsid w:val="00810667"/>
    <w:rsid w:val="0081101D"/>
    <w:rsid w:val="00812A1F"/>
    <w:rsid w:val="00813971"/>
    <w:rsid w:val="00815BD9"/>
    <w:rsid w:val="008165A6"/>
    <w:rsid w:val="0082008F"/>
    <w:rsid w:val="0082186C"/>
    <w:rsid w:val="00823E53"/>
    <w:rsid w:val="00825E15"/>
    <w:rsid w:val="00826793"/>
    <w:rsid w:val="00830A5B"/>
    <w:rsid w:val="00830C88"/>
    <w:rsid w:val="00830DE8"/>
    <w:rsid w:val="0083551C"/>
    <w:rsid w:val="0083596C"/>
    <w:rsid w:val="0083625B"/>
    <w:rsid w:val="0083723C"/>
    <w:rsid w:val="00837285"/>
    <w:rsid w:val="00844F66"/>
    <w:rsid w:val="008455FE"/>
    <w:rsid w:val="008458F5"/>
    <w:rsid w:val="00846C13"/>
    <w:rsid w:val="008500F2"/>
    <w:rsid w:val="00850FF9"/>
    <w:rsid w:val="00856C92"/>
    <w:rsid w:val="008573DE"/>
    <w:rsid w:val="008604F3"/>
    <w:rsid w:val="008638A0"/>
    <w:rsid w:val="00865262"/>
    <w:rsid w:val="0087070C"/>
    <w:rsid w:val="008712E6"/>
    <w:rsid w:val="0087262F"/>
    <w:rsid w:val="00873475"/>
    <w:rsid w:val="00882F4E"/>
    <w:rsid w:val="00885831"/>
    <w:rsid w:val="008858FC"/>
    <w:rsid w:val="0088751E"/>
    <w:rsid w:val="0089052C"/>
    <w:rsid w:val="00892E78"/>
    <w:rsid w:val="00896AC1"/>
    <w:rsid w:val="008A4D4D"/>
    <w:rsid w:val="008A5875"/>
    <w:rsid w:val="008B014F"/>
    <w:rsid w:val="008B0574"/>
    <w:rsid w:val="008B269E"/>
    <w:rsid w:val="008B4D0A"/>
    <w:rsid w:val="008B5C61"/>
    <w:rsid w:val="008B6CF0"/>
    <w:rsid w:val="008C08FE"/>
    <w:rsid w:val="008C698C"/>
    <w:rsid w:val="008C790B"/>
    <w:rsid w:val="008D0F5A"/>
    <w:rsid w:val="008D2258"/>
    <w:rsid w:val="008D3145"/>
    <w:rsid w:val="008D568A"/>
    <w:rsid w:val="008D7E2D"/>
    <w:rsid w:val="008E1045"/>
    <w:rsid w:val="008E25CE"/>
    <w:rsid w:val="008E3C97"/>
    <w:rsid w:val="008E4373"/>
    <w:rsid w:val="008F183F"/>
    <w:rsid w:val="008F45F9"/>
    <w:rsid w:val="008F542C"/>
    <w:rsid w:val="008F5F89"/>
    <w:rsid w:val="008F6564"/>
    <w:rsid w:val="008F7D0E"/>
    <w:rsid w:val="009005E9"/>
    <w:rsid w:val="00902475"/>
    <w:rsid w:val="00902E16"/>
    <w:rsid w:val="0090603B"/>
    <w:rsid w:val="00906F61"/>
    <w:rsid w:val="00913960"/>
    <w:rsid w:val="00913FB9"/>
    <w:rsid w:val="00915A40"/>
    <w:rsid w:val="00915BF6"/>
    <w:rsid w:val="00922913"/>
    <w:rsid w:val="0092409C"/>
    <w:rsid w:val="009342C5"/>
    <w:rsid w:val="00934F04"/>
    <w:rsid w:val="009352E0"/>
    <w:rsid w:val="00935AE4"/>
    <w:rsid w:val="00936787"/>
    <w:rsid w:val="00937FAE"/>
    <w:rsid w:val="009410D1"/>
    <w:rsid w:val="00941F7E"/>
    <w:rsid w:val="00942DB0"/>
    <w:rsid w:val="009431FE"/>
    <w:rsid w:val="00943BC0"/>
    <w:rsid w:val="00951739"/>
    <w:rsid w:val="0095260D"/>
    <w:rsid w:val="00952F34"/>
    <w:rsid w:val="0095344E"/>
    <w:rsid w:val="00954216"/>
    <w:rsid w:val="00957CF5"/>
    <w:rsid w:val="00957D3B"/>
    <w:rsid w:val="00960C10"/>
    <w:rsid w:val="00965A63"/>
    <w:rsid w:val="00970DB8"/>
    <w:rsid w:val="0098254C"/>
    <w:rsid w:val="00993E96"/>
    <w:rsid w:val="0099758E"/>
    <w:rsid w:val="009A485B"/>
    <w:rsid w:val="009B0DA4"/>
    <w:rsid w:val="009B1658"/>
    <w:rsid w:val="009B22E3"/>
    <w:rsid w:val="009B28E6"/>
    <w:rsid w:val="009C3679"/>
    <w:rsid w:val="009C3B81"/>
    <w:rsid w:val="009C3D8F"/>
    <w:rsid w:val="009D0A3A"/>
    <w:rsid w:val="009D0FC2"/>
    <w:rsid w:val="009E1727"/>
    <w:rsid w:val="009E2369"/>
    <w:rsid w:val="009E2854"/>
    <w:rsid w:val="009E6E51"/>
    <w:rsid w:val="009E724C"/>
    <w:rsid w:val="009F3978"/>
    <w:rsid w:val="009F4B79"/>
    <w:rsid w:val="009F58B4"/>
    <w:rsid w:val="009F5E02"/>
    <w:rsid w:val="00A00F96"/>
    <w:rsid w:val="00A01806"/>
    <w:rsid w:val="00A067F9"/>
    <w:rsid w:val="00A074EA"/>
    <w:rsid w:val="00A11431"/>
    <w:rsid w:val="00A1264A"/>
    <w:rsid w:val="00A12F1A"/>
    <w:rsid w:val="00A1483D"/>
    <w:rsid w:val="00A205F3"/>
    <w:rsid w:val="00A23114"/>
    <w:rsid w:val="00A24DDD"/>
    <w:rsid w:val="00A24EEC"/>
    <w:rsid w:val="00A26E61"/>
    <w:rsid w:val="00A275F5"/>
    <w:rsid w:val="00A30449"/>
    <w:rsid w:val="00A323AD"/>
    <w:rsid w:val="00A32B49"/>
    <w:rsid w:val="00A33C45"/>
    <w:rsid w:val="00A3431F"/>
    <w:rsid w:val="00A361F8"/>
    <w:rsid w:val="00A37948"/>
    <w:rsid w:val="00A37DC6"/>
    <w:rsid w:val="00A41064"/>
    <w:rsid w:val="00A46004"/>
    <w:rsid w:val="00A52729"/>
    <w:rsid w:val="00A551CB"/>
    <w:rsid w:val="00A607CD"/>
    <w:rsid w:val="00A60B3E"/>
    <w:rsid w:val="00A6328C"/>
    <w:rsid w:val="00A63391"/>
    <w:rsid w:val="00A63E47"/>
    <w:rsid w:val="00A644A0"/>
    <w:rsid w:val="00A66642"/>
    <w:rsid w:val="00A701C4"/>
    <w:rsid w:val="00A72C3D"/>
    <w:rsid w:val="00A73E28"/>
    <w:rsid w:val="00A82985"/>
    <w:rsid w:val="00A84D66"/>
    <w:rsid w:val="00A935CF"/>
    <w:rsid w:val="00A94D67"/>
    <w:rsid w:val="00A975D0"/>
    <w:rsid w:val="00AA6B4B"/>
    <w:rsid w:val="00AA75B3"/>
    <w:rsid w:val="00AB00D8"/>
    <w:rsid w:val="00AB3E02"/>
    <w:rsid w:val="00AB4B81"/>
    <w:rsid w:val="00AB509E"/>
    <w:rsid w:val="00AB68C1"/>
    <w:rsid w:val="00AC1A71"/>
    <w:rsid w:val="00AC1E33"/>
    <w:rsid w:val="00AC2345"/>
    <w:rsid w:val="00AC55DB"/>
    <w:rsid w:val="00AC75B3"/>
    <w:rsid w:val="00AD04A9"/>
    <w:rsid w:val="00AD1B5A"/>
    <w:rsid w:val="00AD318A"/>
    <w:rsid w:val="00AD3295"/>
    <w:rsid w:val="00AD35B2"/>
    <w:rsid w:val="00AD3E00"/>
    <w:rsid w:val="00AD4AE0"/>
    <w:rsid w:val="00AD53F0"/>
    <w:rsid w:val="00AE14D8"/>
    <w:rsid w:val="00AE2C6C"/>
    <w:rsid w:val="00AF06A5"/>
    <w:rsid w:val="00AF0745"/>
    <w:rsid w:val="00AF0935"/>
    <w:rsid w:val="00AF12E1"/>
    <w:rsid w:val="00AF25F3"/>
    <w:rsid w:val="00AF451A"/>
    <w:rsid w:val="00AF77BB"/>
    <w:rsid w:val="00AF7FCA"/>
    <w:rsid w:val="00AF7FF6"/>
    <w:rsid w:val="00B00787"/>
    <w:rsid w:val="00B01FB5"/>
    <w:rsid w:val="00B07C1E"/>
    <w:rsid w:val="00B136B5"/>
    <w:rsid w:val="00B13D6E"/>
    <w:rsid w:val="00B146CA"/>
    <w:rsid w:val="00B1699B"/>
    <w:rsid w:val="00B21366"/>
    <w:rsid w:val="00B21A85"/>
    <w:rsid w:val="00B24328"/>
    <w:rsid w:val="00B27E36"/>
    <w:rsid w:val="00B3035D"/>
    <w:rsid w:val="00B30B57"/>
    <w:rsid w:val="00B33C41"/>
    <w:rsid w:val="00B33DCA"/>
    <w:rsid w:val="00B34C06"/>
    <w:rsid w:val="00B37BCC"/>
    <w:rsid w:val="00B428B6"/>
    <w:rsid w:val="00B42B73"/>
    <w:rsid w:val="00B42DA1"/>
    <w:rsid w:val="00B518AA"/>
    <w:rsid w:val="00B53E31"/>
    <w:rsid w:val="00B56B16"/>
    <w:rsid w:val="00B57840"/>
    <w:rsid w:val="00B624D3"/>
    <w:rsid w:val="00B7453E"/>
    <w:rsid w:val="00B7571E"/>
    <w:rsid w:val="00B77626"/>
    <w:rsid w:val="00B77C9D"/>
    <w:rsid w:val="00B81FED"/>
    <w:rsid w:val="00B83DD1"/>
    <w:rsid w:val="00B845BC"/>
    <w:rsid w:val="00B847E4"/>
    <w:rsid w:val="00B84B11"/>
    <w:rsid w:val="00B90F7C"/>
    <w:rsid w:val="00B919EC"/>
    <w:rsid w:val="00B93DA1"/>
    <w:rsid w:val="00BA2EB8"/>
    <w:rsid w:val="00BA5F19"/>
    <w:rsid w:val="00BA6816"/>
    <w:rsid w:val="00BA6AA0"/>
    <w:rsid w:val="00BB0F89"/>
    <w:rsid w:val="00BC315C"/>
    <w:rsid w:val="00BC34D1"/>
    <w:rsid w:val="00BD1BF5"/>
    <w:rsid w:val="00BD288F"/>
    <w:rsid w:val="00BD3185"/>
    <w:rsid w:val="00BD5136"/>
    <w:rsid w:val="00BD641C"/>
    <w:rsid w:val="00BD6CCE"/>
    <w:rsid w:val="00BD7311"/>
    <w:rsid w:val="00BE3F6F"/>
    <w:rsid w:val="00BE455C"/>
    <w:rsid w:val="00BE536B"/>
    <w:rsid w:val="00BE5C5A"/>
    <w:rsid w:val="00BE700A"/>
    <w:rsid w:val="00BF0640"/>
    <w:rsid w:val="00BF3B84"/>
    <w:rsid w:val="00BF3C17"/>
    <w:rsid w:val="00BF7895"/>
    <w:rsid w:val="00C00C02"/>
    <w:rsid w:val="00C0182D"/>
    <w:rsid w:val="00C055B3"/>
    <w:rsid w:val="00C05656"/>
    <w:rsid w:val="00C06059"/>
    <w:rsid w:val="00C07F3F"/>
    <w:rsid w:val="00C11665"/>
    <w:rsid w:val="00C12074"/>
    <w:rsid w:val="00C1535A"/>
    <w:rsid w:val="00C17724"/>
    <w:rsid w:val="00C214AD"/>
    <w:rsid w:val="00C2162B"/>
    <w:rsid w:val="00C22813"/>
    <w:rsid w:val="00C23FA8"/>
    <w:rsid w:val="00C26E03"/>
    <w:rsid w:val="00C27A52"/>
    <w:rsid w:val="00C27DB8"/>
    <w:rsid w:val="00C37707"/>
    <w:rsid w:val="00C40878"/>
    <w:rsid w:val="00C424CA"/>
    <w:rsid w:val="00C43187"/>
    <w:rsid w:val="00C44FE9"/>
    <w:rsid w:val="00C45D82"/>
    <w:rsid w:val="00C46660"/>
    <w:rsid w:val="00C53387"/>
    <w:rsid w:val="00C53A73"/>
    <w:rsid w:val="00C54B4C"/>
    <w:rsid w:val="00C5605B"/>
    <w:rsid w:val="00C561AD"/>
    <w:rsid w:val="00C56C46"/>
    <w:rsid w:val="00C60096"/>
    <w:rsid w:val="00C605FF"/>
    <w:rsid w:val="00C613D8"/>
    <w:rsid w:val="00C631BF"/>
    <w:rsid w:val="00C66DD3"/>
    <w:rsid w:val="00C82497"/>
    <w:rsid w:val="00C82FBD"/>
    <w:rsid w:val="00C92750"/>
    <w:rsid w:val="00C955BE"/>
    <w:rsid w:val="00C96D5C"/>
    <w:rsid w:val="00CA0EF9"/>
    <w:rsid w:val="00CA458D"/>
    <w:rsid w:val="00CA4840"/>
    <w:rsid w:val="00CA4893"/>
    <w:rsid w:val="00CA4BEE"/>
    <w:rsid w:val="00CA6D9A"/>
    <w:rsid w:val="00CB05B4"/>
    <w:rsid w:val="00CB198E"/>
    <w:rsid w:val="00CB330E"/>
    <w:rsid w:val="00CB3390"/>
    <w:rsid w:val="00CB380B"/>
    <w:rsid w:val="00CB3883"/>
    <w:rsid w:val="00CB49C4"/>
    <w:rsid w:val="00CB5771"/>
    <w:rsid w:val="00CC09AE"/>
    <w:rsid w:val="00CC0D34"/>
    <w:rsid w:val="00CC10A0"/>
    <w:rsid w:val="00CC25E7"/>
    <w:rsid w:val="00CC3BF8"/>
    <w:rsid w:val="00CC576C"/>
    <w:rsid w:val="00CC5E2F"/>
    <w:rsid w:val="00CC66C9"/>
    <w:rsid w:val="00CC772F"/>
    <w:rsid w:val="00CD35FC"/>
    <w:rsid w:val="00CD3A56"/>
    <w:rsid w:val="00CD5DD6"/>
    <w:rsid w:val="00CD608B"/>
    <w:rsid w:val="00CE2A01"/>
    <w:rsid w:val="00CE625D"/>
    <w:rsid w:val="00CE6E00"/>
    <w:rsid w:val="00CF150A"/>
    <w:rsid w:val="00CF2F5B"/>
    <w:rsid w:val="00CF6C20"/>
    <w:rsid w:val="00D06484"/>
    <w:rsid w:val="00D07067"/>
    <w:rsid w:val="00D12635"/>
    <w:rsid w:val="00D202E5"/>
    <w:rsid w:val="00D203AE"/>
    <w:rsid w:val="00D20594"/>
    <w:rsid w:val="00D21D98"/>
    <w:rsid w:val="00D2213E"/>
    <w:rsid w:val="00D22C94"/>
    <w:rsid w:val="00D23457"/>
    <w:rsid w:val="00D24BF6"/>
    <w:rsid w:val="00D31D6C"/>
    <w:rsid w:val="00D33957"/>
    <w:rsid w:val="00D342A1"/>
    <w:rsid w:val="00D34D01"/>
    <w:rsid w:val="00D34E56"/>
    <w:rsid w:val="00D37D48"/>
    <w:rsid w:val="00D42FDE"/>
    <w:rsid w:val="00D5371D"/>
    <w:rsid w:val="00D561E7"/>
    <w:rsid w:val="00D607DA"/>
    <w:rsid w:val="00D67290"/>
    <w:rsid w:val="00D721FA"/>
    <w:rsid w:val="00D72697"/>
    <w:rsid w:val="00D806DE"/>
    <w:rsid w:val="00D83078"/>
    <w:rsid w:val="00D84593"/>
    <w:rsid w:val="00D85EC6"/>
    <w:rsid w:val="00D864C1"/>
    <w:rsid w:val="00D877A4"/>
    <w:rsid w:val="00D922E9"/>
    <w:rsid w:val="00D9357D"/>
    <w:rsid w:val="00D9394F"/>
    <w:rsid w:val="00D93BE9"/>
    <w:rsid w:val="00D957DA"/>
    <w:rsid w:val="00D96AEA"/>
    <w:rsid w:val="00DA0528"/>
    <w:rsid w:val="00DA0D2D"/>
    <w:rsid w:val="00DA2258"/>
    <w:rsid w:val="00DA298F"/>
    <w:rsid w:val="00DA50D0"/>
    <w:rsid w:val="00DA79E0"/>
    <w:rsid w:val="00DA7B32"/>
    <w:rsid w:val="00DB063B"/>
    <w:rsid w:val="00DB0767"/>
    <w:rsid w:val="00DB2DCF"/>
    <w:rsid w:val="00DB45E0"/>
    <w:rsid w:val="00DB62D7"/>
    <w:rsid w:val="00DB6D8D"/>
    <w:rsid w:val="00DC0C65"/>
    <w:rsid w:val="00DC2DFA"/>
    <w:rsid w:val="00DC321D"/>
    <w:rsid w:val="00DC6C1A"/>
    <w:rsid w:val="00DC72D0"/>
    <w:rsid w:val="00DC7967"/>
    <w:rsid w:val="00DD0EF8"/>
    <w:rsid w:val="00DD0FF2"/>
    <w:rsid w:val="00DD210B"/>
    <w:rsid w:val="00DD381F"/>
    <w:rsid w:val="00DD4E9E"/>
    <w:rsid w:val="00DD534D"/>
    <w:rsid w:val="00DD5517"/>
    <w:rsid w:val="00DD6AA1"/>
    <w:rsid w:val="00DD6D1D"/>
    <w:rsid w:val="00DD77D9"/>
    <w:rsid w:val="00DE4664"/>
    <w:rsid w:val="00DE6E95"/>
    <w:rsid w:val="00DF10FA"/>
    <w:rsid w:val="00DF16AC"/>
    <w:rsid w:val="00E00763"/>
    <w:rsid w:val="00E02EE8"/>
    <w:rsid w:val="00E03C4B"/>
    <w:rsid w:val="00E04DC9"/>
    <w:rsid w:val="00E06FF0"/>
    <w:rsid w:val="00E16521"/>
    <w:rsid w:val="00E17F63"/>
    <w:rsid w:val="00E20808"/>
    <w:rsid w:val="00E2146F"/>
    <w:rsid w:val="00E26587"/>
    <w:rsid w:val="00E30057"/>
    <w:rsid w:val="00E34B1B"/>
    <w:rsid w:val="00E35F15"/>
    <w:rsid w:val="00E41D6E"/>
    <w:rsid w:val="00E41F75"/>
    <w:rsid w:val="00E43ED5"/>
    <w:rsid w:val="00E443C4"/>
    <w:rsid w:val="00E44C89"/>
    <w:rsid w:val="00E45A62"/>
    <w:rsid w:val="00E46120"/>
    <w:rsid w:val="00E466CA"/>
    <w:rsid w:val="00E53E35"/>
    <w:rsid w:val="00E54AE5"/>
    <w:rsid w:val="00E62239"/>
    <w:rsid w:val="00E63A54"/>
    <w:rsid w:val="00E64685"/>
    <w:rsid w:val="00E76E99"/>
    <w:rsid w:val="00E84AA9"/>
    <w:rsid w:val="00E91351"/>
    <w:rsid w:val="00E94570"/>
    <w:rsid w:val="00E956D4"/>
    <w:rsid w:val="00E95C46"/>
    <w:rsid w:val="00E96492"/>
    <w:rsid w:val="00EA0A6D"/>
    <w:rsid w:val="00EA0C58"/>
    <w:rsid w:val="00EA0D45"/>
    <w:rsid w:val="00EA27EB"/>
    <w:rsid w:val="00EA2C13"/>
    <w:rsid w:val="00EA4E59"/>
    <w:rsid w:val="00EA7290"/>
    <w:rsid w:val="00EB292E"/>
    <w:rsid w:val="00EB5023"/>
    <w:rsid w:val="00EC32B8"/>
    <w:rsid w:val="00EC3422"/>
    <w:rsid w:val="00EC3583"/>
    <w:rsid w:val="00ED5F39"/>
    <w:rsid w:val="00ED635D"/>
    <w:rsid w:val="00EE0297"/>
    <w:rsid w:val="00EE1E08"/>
    <w:rsid w:val="00EE29AA"/>
    <w:rsid w:val="00EF092B"/>
    <w:rsid w:val="00EF29A7"/>
    <w:rsid w:val="00EF6251"/>
    <w:rsid w:val="00F005AF"/>
    <w:rsid w:val="00F01E31"/>
    <w:rsid w:val="00F0308F"/>
    <w:rsid w:val="00F03100"/>
    <w:rsid w:val="00F033DF"/>
    <w:rsid w:val="00F03557"/>
    <w:rsid w:val="00F10827"/>
    <w:rsid w:val="00F10AA4"/>
    <w:rsid w:val="00F144E2"/>
    <w:rsid w:val="00F14D3B"/>
    <w:rsid w:val="00F20E47"/>
    <w:rsid w:val="00F22B33"/>
    <w:rsid w:val="00F244ED"/>
    <w:rsid w:val="00F24FFD"/>
    <w:rsid w:val="00F25640"/>
    <w:rsid w:val="00F26B9F"/>
    <w:rsid w:val="00F3012A"/>
    <w:rsid w:val="00F324F8"/>
    <w:rsid w:val="00F33F02"/>
    <w:rsid w:val="00F404BE"/>
    <w:rsid w:val="00F43794"/>
    <w:rsid w:val="00F44FE2"/>
    <w:rsid w:val="00F45096"/>
    <w:rsid w:val="00F4571E"/>
    <w:rsid w:val="00F50A55"/>
    <w:rsid w:val="00F51218"/>
    <w:rsid w:val="00F51B58"/>
    <w:rsid w:val="00F52E36"/>
    <w:rsid w:val="00F57A23"/>
    <w:rsid w:val="00F6500F"/>
    <w:rsid w:val="00F65FC1"/>
    <w:rsid w:val="00F73F60"/>
    <w:rsid w:val="00F7456A"/>
    <w:rsid w:val="00F770CF"/>
    <w:rsid w:val="00F77B89"/>
    <w:rsid w:val="00F83C17"/>
    <w:rsid w:val="00F922A2"/>
    <w:rsid w:val="00F96DFB"/>
    <w:rsid w:val="00FA2500"/>
    <w:rsid w:val="00FA283E"/>
    <w:rsid w:val="00FA4117"/>
    <w:rsid w:val="00FA6A72"/>
    <w:rsid w:val="00FB1CAE"/>
    <w:rsid w:val="00FB3F68"/>
    <w:rsid w:val="00FB4A7F"/>
    <w:rsid w:val="00FC33E7"/>
    <w:rsid w:val="00FC43D5"/>
    <w:rsid w:val="00FD2111"/>
    <w:rsid w:val="00FD28EF"/>
    <w:rsid w:val="00FE0158"/>
    <w:rsid w:val="00FE0B81"/>
    <w:rsid w:val="00FE5862"/>
    <w:rsid w:val="00FE5FFB"/>
    <w:rsid w:val="00FF1BE8"/>
    <w:rsid w:val="00FF2D1D"/>
    <w:rsid w:val="00FF633B"/>
    <w:rsid w:val="00FF69EA"/>
    <w:rsid w:val="00FF6DCF"/>
    <w:rsid w:val="00FF7B98"/>
    <w:rsid w:val="01397173"/>
    <w:rsid w:val="02C16484"/>
    <w:rsid w:val="0786D79D"/>
    <w:rsid w:val="0E33D44A"/>
    <w:rsid w:val="0F1334B3"/>
    <w:rsid w:val="17023BA6"/>
    <w:rsid w:val="22C08B6A"/>
    <w:rsid w:val="242B7408"/>
    <w:rsid w:val="244D3A4B"/>
    <w:rsid w:val="28B4E543"/>
    <w:rsid w:val="297F4C8E"/>
    <w:rsid w:val="29F0C209"/>
    <w:rsid w:val="2DFFC0F8"/>
    <w:rsid w:val="3055E99C"/>
    <w:rsid w:val="34D9811A"/>
    <w:rsid w:val="3C22BE8C"/>
    <w:rsid w:val="3D7C2E5C"/>
    <w:rsid w:val="4193DAE8"/>
    <w:rsid w:val="42834D24"/>
    <w:rsid w:val="46959C6F"/>
    <w:rsid w:val="4F4E6537"/>
    <w:rsid w:val="512D33CA"/>
    <w:rsid w:val="53C4A499"/>
    <w:rsid w:val="548AE1B7"/>
    <w:rsid w:val="5D5226D3"/>
    <w:rsid w:val="5EAC0048"/>
    <w:rsid w:val="5EDA5BDC"/>
    <w:rsid w:val="6132E815"/>
    <w:rsid w:val="625EC1F1"/>
    <w:rsid w:val="63C3CDB7"/>
    <w:rsid w:val="6B895F00"/>
    <w:rsid w:val="6C6DEE03"/>
    <w:rsid w:val="71EE0B87"/>
    <w:rsid w:val="735FAD00"/>
    <w:rsid w:val="74ABC23F"/>
    <w:rsid w:val="771638C9"/>
    <w:rsid w:val="7825EACC"/>
    <w:rsid w:val="7BAC44B5"/>
    <w:rsid w:val="7EEB6585"/>
    <w:rsid w:val="7FB8E2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DC20B"/>
  <w15:chartTrackingRefBased/>
  <w15:docId w15:val="{CAD49A2B-D9A0-42B1-8F46-C2B96F947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5F5"/>
  </w:style>
  <w:style w:type="paragraph" w:styleId="Heading1">
    <w:name w:val="heading 1"/>
    <w:basedOn w:val="Normal"/>
    <w:next w:val="Normal"/>
    <w:link w:val="Heading1Char"/>
    <w:uiPriority w:val="9"/>
    <w:qFormat/>
    <w:rsid w:val="00B919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4CB5"/>
    <w:pPr>
      <w:keepNext/>
      <w:keepLines/>
      <w:numPr>
        <w:numId w:val="19"/>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919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9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9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9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9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9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9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9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919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919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9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9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9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9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9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9EC"/>
    <w:rPr>
      <w:rFonts w:eastAsiaTheme="majorEastAsia" w:cstheme="majorBidi"/>
      <w:color w:val="272727" w:themeColor="text1" w:themeTint="D8"/>
    </w:rPr>
  </w:style>
  <w:style w:type="paragraph" w:styleId="Title">
    <w:name w:val="Title"/>
    <w:basedOn w:val="Normal"/>
    <w:next w:val="Normal"/>
    <w:link w:val="TitleChar"/>
    <w:uiPriority w:val="10"/>
    <w:qFormat/>
    <w:rsid w:val="00B919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9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9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9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9EC"/>
    <w:pPr>
      <w:spacing w:before="160"/>
      <w:jc w:val="center"/>
    </w:pPr>
    <w:rPr>
      <w:i/>
      <w:iCs/>
      <w:color w:val="404040" w:themeColor="text1" w:themeTint="BF"/>
    </w:rPr>
  </w:style>
  <w:style w:type="character" w:customStyle="1" w:styleId="QuoteChar">
    <w:name w:val="Quote Char"/>
    <w:basedOn w:val="DefaultParagraphFont"/>
    <w:link w:val="Quote"/>
    <w:uiPriority w:val="29"/>
    <w:rsid w:val="00B919EC"/>
    <w:rPr>
      <w:i/>
      <w:iCs/>
      <w:color w:val="404040" w:themeColor="text1" w:themeTint="BF"/>
    </w:rPr>
  </w:style>
  <w:style w:type="paragraph" w:styleId="ListParagraph">
    <w:name w:val="List Paragraph"/>
    <w:basedOn w:val="Normal"/>
    <w:uiPriority w:val="34"/>
    <w:qFormat/>
    <w:rsid w:val="00B919EC"/>
    <w:pPr>
      <w:ind w:left="720"/>
      <w:contextualSpacing/>
    </w:pPr>
  </w:style>
  <w:style w:type="character" w:styleId="IntenseEmphasis">
    <w:name w:val="Intense Emphasis"/>
    <w:basedOn w:val="DefaultParagraphFont"/>
    <w:uiPriority w:val="21"/>
    <w:qFormat/>
    <w:rsid w:val="00B919EC"/>
    <w:rPr>
      <w:i/>
      <w:iCs/>
      <w:color w:val="0F4761" w:themeColor="accent1" w:themeShade="BF"/>
    </w:rPr>
  </w:style>
  <w:style w:type="paragraph" w:styleId="IntenseQuote">
    <w:name w:val="Intense Quote"/>
    <w:basedOn w:val="Normal"/>
    <w:next w:val="Normal"/>
    <w:link w:val="IntenseQuoteChar"/>
    <w:uiPriority w:val="30"/>
    <w:qFormat/>
    <w:rsid w:val="00B919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9EC"/>
    <w:rPr>
      <w:i/>
      <w:iCs/>
      <w:color w:val="0F4761" w:themeColor="accent1" w:themeShade="BF"/>
    </w:rPr>
  </w:style>
  <w:style w:type="character" w:styleId="IntenseReference">
    <w:name w:val="Intense Reference"/>
    <w:basedOn w:val="DefaultParagraphFont"/>
    <w:uiPriority w:val="32"/>
    <w:qFormat/>
    <w:rsid w:val="00B919EC"/>
    <w:rPr>
      <w:b/>
      <w:bCs/>
      <w:smallCaps/>
      <w:color w:val="0F4761" w:themeColor="accent1" w:themeShade="BF"/>
      <w:spacing w:val="5"/>
    </w:rPr>
  </w:style>
  <w:style w:type="paragraph" w:styleId="TOCHeading">
    <w:name w:val="TOC Heading"/>
    <w:basedOn w:val="Heading1"/>
    <w:next w:val="Normal"/>
    <w:uiPriority w:val="39"/>
    <w:unhideWhenUsed/>
    <w:qFormat/>
    <w:rsid w:val="00E91351"/>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E91351"/>
    <w:pPr>
      <w:spacing w:after="100"/>
    </w:pPr>
  </w:style>
  <w:style w:type="paragraph" w:styleId="TOC2">
    <w:name w:val="toc 2"/>
    <w:basedOn w:val="Normal"/>
    <w:next w:val="Normal"/>
    <w:autoRedefine/>
    <w:uiPriority w:val="39"/>
    <w:unhideWhenUsed/>
    <w:rsid w:val="00E91351"/>
    <w:pPr>
      <w:spacing w:after="100"/>
      <w:ind w:left="240"/>
    </w:pPr>
  </w:style>
  <w:style w:type="character" w:styleId="Hyperlink">
    <w:name w:val="Hyperlink"/>
    <w:basedOn w:val="DefaultParagraphFont"/>
    <w:uiPriority w:val="99"/>
    <w:unhideWhenUsed/>
    <w:rsid w:val="00E91351"/>
    <w:rPr>
      <w:color w:val="467886" w:themeColor="hyperlink"/>
      <w:u w:val="single"/>
    </w:rPr>
  </w:style>
  <w:style w:type="paragraph" w:styleId="Header">
    <w:name w:val="header"/>
    <w:basedOn w:val="Normal"/>
    <w:link w:val="HeaderChar"/>
    <w:uiPriority w:val="99"/>
    <w:unhideWhenUsed/>
    <w:rsid w:val="001C5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075"/>
  </w:style>
  <w:style w:type="paragraph" w:styleId="Footer">
    <w:name w:val="footer"/>
    <w:basedOn w:val="Normal"/>
    <w:link w:val="FooterChar"/>
    <w:uiPriority w:val="99"/>
    <w:unhideWhenUsed/>
    <w:rsid w:val="001C5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075"/>
  </w:style>
  <w:style w:type="paragraph" w:styleId="Revision">
    <w:name w:val="Revision"/>
    <w:hidden/>
    <w:uiPriority w:val="99"/>
    <w:semiHidden/>
    <w:rsid w:val="00FC43D5"/>
    <w:pPr>
      <w:spacing w:after="0" w:line="240" w:lineRule="auto"/>
    </w:pPr>
  </w:style>
  <w:style w:type="character" w:styleId="UnresolvedMention">
    <w:name w:val="Unresolved Mention"/>
    <w:basedOn w:val="DefaultParagraphFont"/>
    <w:uiPriority w:val="99"/>
    <w:semiHidden/>
    <w:unhideWhenUsed/>
    <w:rsid w:val="007554F5"/>
    <w:rPr>
      <w:color w:val="605E5C"/>
      <w:shd w:val="clear" w:color="auto" w:fill="E1DFDD"/>
    </w:rPr>
  </w:style>
  <w:style w:type="paragraph" w:styleId="FootnoteText">
    <w:name w:val="footnote text"/>
    <w:basedOn w:val="Normal"/>
    <w:link w:val="FootnoteTextChar"/>
    <w:uiPriority w:val="99"/>
    <w:semiHidden/>
    <w:unhideWhenUsed/>
    <w:rsid w:val="007554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54F5"/>
    <w:rPr>
      <w:sz w:val="20"/>
      <w:szCs w:val="20"/>
    </w:rPr>
  </w:style>
  <w:style w:type="character" w:styleId="FootnoteReference">
    <w:name w:val="footnote reference"/>
    <w:basedOn w:val="DefaultParagraphFont"/>
    <w:uiPriority w:val="99"/>
    <w:semiHidden/>
    <w:unhideWhenUsed/>
    <w:rsid w:val="007554F5"/>
    <w:rPr>
      <w:vertAlign w:val="superscript"/>
    </w:rPr>
  </w:style>
  <w:style w:type="table" w:styleId="TableGrid">
    <w:name w:val="Table Grid"/>
    <w:basedOn w:val="TableNormal"/>
    <w:uiPriority w:val="39"/>
    <w:rsid w:val="0001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A4840"/>
    <w:rPr>
      <w:color w:val="96607D" w:themeColor="followedHyperlink"/>
      <w:u w:val="single"/>
    </w:rPr>
  </w:style>
  <w:style w:type="character" w:styleId="CommentReference">
    <w:name w:val="annotation reference"/>
    <w:basedOn w:val="DefaultParagraphFont"/>
    <w:uiPriority w:val="99"/>
    <w:semiHidden/>
    <w:unhideWhenUsed/>
    <w:rsid w:val="007E4641"/>
    <w:rPr>
      <w:sz w:val="16"/>
      <w:szCs w:val="16"/>
    </w:rPr>
  </w:style>
  <w:style w:type="paragraph" w:styleId="CommentText">
    <w:name w:val="annotation text"/>
    <w:basedOn w:val="Normal"/>
    <w:link w:val="CommentTextChar"/>
    <w:uiPriority w:val="99"/>
    <w:unhideWhenUsed/>
    <w:rsid w:val="007E4641"/>
    <w:pPr>
      <w:spacing w:line="240" w:lineRule="auto"/>
    </w:pPr>
    <w:rPr>
      <w:sz w:val="20"/>
      <w:szCs w:val="20"/>
    </w:rPr>
  </w:style>
  <w:style w:type="character" w:customStyle="1" w:styleId="CommentTextChar">
    <w:name w:val="Comment Text Char"/>
    <w:basedOn w:val="DefaultParagraphFont"/>
    <w:link w:val="CommentText"/>
    <w:uiPriority w:val="99"/>
    <w:rsid w:val="007E4641"/>
    <w:rPr>
      <w:sz w:val="20"/>
      <w:szCs w:val="20"/>
    </w:rPr>
  </w:style>
  <w:style w:type="paragraph" w:styleId="CommentSubject">
    <w:name w:val="annotation subject"/>
    <w:basedOn w:val="CommentText"/>
    <w:next w:val="CommentText"/>
    <w:link w:val="CommentSubjectChar"/>
    <w:uiPriority w:val="99"/>
    <w:semiHidden/>
    <w:unhideWhenUsed/>
    <w:rsid w:val="007E4641"/>
    <w:rPr>
      <w:b/>
      <w:bCs/>
    </w:rPr>
  </w:style>
  <w:style w:type="character" w:customStyle="1" w:styleId="CommentSubjectChar">
    <w:name w:val="Comment Subject Char"/>
    <w:basedOn w:val="CommentTextChar"/>
    <w:link w:val="CommentSubject"/>
    <w:uiPriority w:val="99"/>
    <w:semiHidden/>
    <w:rsid w:val="007E4641"/>
    <w:rPr>
      <w:b/>
      <w:bCs/>
      <w:sz w:val="20"/>
      <w:szCs w:val="20"/>
    </w:rPr>
  </w:style>
  <w:style w:type="paragraph" w:styleId="TOC3">
    <w:name w:val="toc 3"/>
    <w:basedOn w:val="Normal"/>
    <w:next w:val="Normal"/>
    <w:autoRedefine/>
    <w:uiPriority w:val="39"/>
    <w:unhideWhenUsed/>
    <w:rsid w:val="00F6500F"/>
    <w:pPr>
      <w:spacing w:after="100"/>
      <w:ind w:left="480"/>
    </w:pPr>
  </w:style>
  <w:style w:type="numbering" w:customStyle="1" w:styleId="Style1">
    <w:name w:val="Style1"/>
    <w:uiPriority w:val="99"/>
    <w:rsid w:val="00F324F8"/>
    <w:pPr>
      <w:numPr>
        <w:numId w:val="18"/>
      </w:numPr>
    </w:pPr>
  </w:style>
  <w:style w:type="paragraph" w:customStyle="1" w:styleId="paragraph">
    <w:name w:val="paragraph"/>
    <w:basedOn w:val="Normal"/>
    <w:rsid w:val="003E4B4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3E4B42"/>
  </w:style>
  <w:style w:type="character" w:customStyle="1" w:styleId="contentcontrolboundarysink">
    <w:name w:val="contentcontrolboundarysink"/>
    <w:basedOn w:val="DefaultParagraphFont"/>
    <w:rsid w:val="003E4B42"/>
  </w:style>
  <w:style w:type="character" w:customStyle="1" w:styleId="eop">
    <w:name w:val="eop"/>
    <w:basedOn w:val="DefaultParagraphFont"/>
    <w:rsid w:val="003E4B42"/>
  </w:style>
  <w:style w:type="character" w:customStyle="1" w:styleId="nobreakhyphenblob">
    <w:name w:val="nobreakhyphenblob"/>
    <w:basedOn w:val="DefaultParagraphFont"/>
    <w:rsid w:val="003E4B42"/>
  </w:style>
  <w:style w:type="character" w:customStyle="1" w:styleId="scxw109983803">
    <w:name w:val="scxw109983803"/>
    <w:basedOn w:val="DefaultParagraphFont"/>
    <w:rsid w:val="003E4B42"/>
  </w:style>
  <w:style w:type="character" w:customStyle="1" w:styleId="wacimagecontainer">
    <w:name w:val="wacimagecontainer"/>
    <w:basedOn w:val="DefaultParagraphFont"/>
    <w:rsid w:val="003E4B42"/>
  </w:style>
  <w:style w:type="paragraph" w:styleId="Caption">
    <w:name w:val="caption"/>
    <w:basedOn w:val="Normal"/>
    <w:next w:val="Normal"/>
    <w:uiPriority w:val="35"/>
    <w:unhideWhenUsed/>
    <w:qFormat/>
    <w:rsid w:val="00865262"/>
    <w:pPr>
      <w:spacing w:after="200" w:line="240" w:lineRule="auto"/>
      <w:jc w:val="center"/>
    </w:pPr>
    <w:rPr>
      <w:rFonts w:ascii="Calibri" w:hAnsi="Calibri"/>
      <w:i/>
      <w:iCs/>
      <w:color w:val="0E2841" w:themeColor="text2"/>
      <w:sz w:val="20"/>
      <w:szCs w:val="18"/>
    </w:rPr>
  </w:style>
  <w:style w:type="paragraph" w:styleId="TableofFigures">
    <w:name w:val="table of figures"/>
    <w:basedOn w:val="Normal"/>
    <w:next w:val="Normal"/>
    <w:uiPriority w:val="99"/>
    <w:unhideWhenUsed/>
    <w:rsid w:val="00164247"/>
    <w:pPr>
      <w:spacing w:after="0"/>
    </w:pPr>
  </w:style>
  <w:style w:type="character" w:styleId="BookTitle">
    <w:name w:val="Book Title"/>
    <w:basedOn w:val="DefaultParagraphFont"/>
    <w:uiPriority w:val="33"/>
    <w:qFormat/>
    <w:rsid w:val="005375D8"/>
    <w:rPr>
      <w:b/>
      <w:bCs/>
      <w:i/>
      <w:iCs/>
      <w:spacing w:val="5"/>
    </w:rPr>
  </w:style>
  <w:style w:type="character" w:styleId="Emphasis">
    <w:name w:val="Emphasis"/>
    <w:basedOn w:val="DefaultParagraphFont"/>
    <w:uiPriority w:val="20"/>
    <w:qFormat/>
    <w:rsid w:val="005375D8"/>
    <w:rPr>
      <w:i/>
      <w:iCs/>
    </w:rPr>
  </w:style>
  <w:style w:type="paragraph" w:styleId="NoSpacing">
    <w:name w:val="No Spacing"/>
    <w:uiPriority w:val="1"/>
    <w:qFormat/>
    <w:rsid w:val="005375D8"/>
    <w:pPr>
      <w:spacing w:after="0" w:line="240" w:lineRule="auto"/>
    </w:pPr>
  </w:style>
  <w:style w:type="character" w:styleId="Strong">
    <w:name w:val="Strong"/>
    <w:basedOn w:val="DefaultParagraphFont"/>
    <w:uiPriority w:val="22"/>
    <w:qFormat/>
    <w:rsid w:val="005375D8"/>
    <w:rPr>
      <w:b/>
      <w:bCs/>
    </w:rPr>
  </w:style>
  <w:style w:type="character" w:styleId="SubtleEmphasis">
    <w:name w:val="Subtle Emphasis"/>
    <w:basedOn w:val="DefaultParagraphFont"/>
    <w:uiPriority w:val="19"/>
    <w:qFormat/>
    <w:rsid w:val="005375D8"/>
    <w:rPr>
      <w:i/>
      <w:iCs/>
      <w:color w:val="404040" w:themeColor="text1" w:themeTint="BF"/>
    </w:rPr>
  </w:style>
  <w:style w:type="character" w:styleId="SubtleReference">
    <w:name w:val="Subtle Reference"/>
    <w:basedOn w:val="DefaultParagraphFont"/>
    <w:uiPriority w:val="31"/>
    <w:qFormat/>
    <w:rsid w:val="005375D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940">
      <w:bodyDiv w:val="1"/>
      <w:marLeft w:val="0"/>
      <w:marRight w:val="0"/>
      <w:marTop w:val="0"/>
      <w:marBottom w:val="0"/>
      <w:divBdr>
        <w:top w:val="none" w:sz="0" w:space="0" w:color="auto"/>
        <w:left w:val="none" w:sz="0" w:space="0" w:color="auto"/>
        <w:bottom w:val="none" w:sz="0" w:space="0" w:color="auto"/>
        <w:right w:val="none" w:sz="0" w:space="0" w:color="auto"/>
      </w:divBdr>
      <w:divsChild>
        <w:div w:id="2030988179">
          <w:marLeft w:val="0"/>
          <w:marRight w:val="0"/>
          <w:marTop w:val="0"/>
          <w:marBottom w:val="0"/>
          <w:divBdr>
            <w:top w:val="none" w:sz="0" w:space="0" w:color="auto"/>
            <w:left w:val="none" w:sz="0" w:space="0" w:color="auto"/>
            <w:bottom w:val="none" w:sz="0" w:space="0" w:color="auto"/>
            <w:right w:val="none" w:sz="0" w:space="0" w:color="auto"/>
          </w:divBdr>
        </w:div>
      </w:divsChild>
    </w:div>
    <w:div w:id="5644298">
      <w:bodyDiv w:val="1"/>
      <w:marLeft w:val="0"/>
      <w:marRight w:val="0"/>
      <w:marTop w:val="0"/>
      <w:marBottom w:val="0"/>
      <w:divBdr>
        <w:top w:val="none" w:sz="0" w:space="0" w:color="auto"/>
        <w:left w:val="none" w:sz="0" w:space="0" w:color="auto"/>
        <w:bottom w:val="none" w:sz="0" w:space="0" w:color="auto"/>
        <w:right w:val="none" w:sz="0" w:space="0" w:color="auto"/>
      </w:divBdr>
      <w:divsChild>
        <w:div w:id="1904872128">
          <w:marLeft w:val="0"/>
          <w:marRight w:val="0"/>
          <w:marTop w:val="0"/>
          <w:marBottom w:val="0"/>
          <w:divBdr>
            <w:top w:val="none" w:sz="0" w:space="0" w:color="auto"/>
            <w:left w:val="none" w:sz="0" w:space="0" w:color="auto"/>
            <w:bottom w:val="none" w:sz="0" w:space="0" w:color="auto"/>
            <w:right w:val="none" w:sz="0" w:space="0" w:color="auto"/>
          </w:divBdr>
        </w:div>
      </w:divsChild>
    </w:div>
    <w:div w:id="13532595">
      <w:bodyDiv w:val="1"/>
      <w:marLeft w:val="0"/>
      <w:marRight w:val="0"/>
      <w:marTop w:val="0"/>
      <w:marBottom w:val="0"/>
      <w:divBdr>
        <w:top w:val="none" w:sz="0" w:space="0" w:color="auto"/>
        <w:left w:val="none" w:sz="0" w:space="0" w:color="auto"/>
        <w:bottom w:val="none" w:sz="0" w:space="0" w:color="auto"/>
        <w:right w:val="none" w:sz="0" w:space="0" w:color="auto"/>
      </w:divBdr>
      <w:divsChild>
        <w:div w:id="1222405468">
          <w:marLeft w:val="0"/>
          <w:marRight w:val="0"/>
          <w:marTop w:val="0"/>
          <w:marBottom w:val="0"/>
          <w:divBdr>
            <w:top w:val="none" w:sz="0" w:space="0" w:color="auto"/>
            <w:left w:val="none" w:sz="0" w:space="0" w:color="auto"/>
            <w:bottom w:val="none" w:sz="0" w:space="0" w:color="auto"/>
            <w:right w:val="none" w:sz="0" w:space="0" w:color="auto"/>
          </w:divBdr>
        </w:div>
      </w:divsChild>
    </w:div>
    <w:div w:id="14155812">
      <w:bodyDiv w:val="1"/>
      <w:marLeft w:val="0"/>
      <w:marRight w:val="0"/>
      <w:marTop w:val="0"/>
      <w:marBottom w:val="0"/>
      <w:divBdr>
        <w:top w:val="none" w:sz="0" w:space="0" w:color="auto"/>
        <w:left w:val="none" w:sz="0" w:space="0" w:color="auto"/>
        <w:bottom w:val="none" w:sz="0" w:space="0" w:color="auto"/>
        <w:right w:val="none" w:sz="0" w:space="0" w:color="auto"/>
      </w:divBdr>
      <w:divsChild>
        <w:div w:id="1927304828">
          <w:marLeft w:val="0"/>
          <w:marRight w:val="0"/>
          <w:marTop w:val="0"/>
          <w:marBottom w:val="0"/>
          <w:divBdr>
            <w:top w:val="none" w:sz="0" w:space="0" w:color="auto"/>
            <w:left w:val="none" w:sz="0" w:space="0" w:color="auto"/>
            <w:bottom w:val="none" w:sz="0" w:space="0" w:color="auto"/>
            <w:right w:val="none" w:sz="0" w:space="0" w:color="auto"/>
          </w:divBdr>
        </w:div>
      </w:divsChild>
    </w:div>
    <w:div w:id="14890250">
      <w:bodyDiv w:val="1"/>
      <w:marLeft w:val="0"/>
      <w:marRight w:val="0"/>
      <w:marTop w:val="0"/>
      <w:marBottom w:val="0"/>
      <w:divBdr>
        <w:top w:val="none" w:sz="0" w:space="0" w:color="auto"/>
        <w:left w:val="none" w:sz="0" w:space="0" w:color="auto"/>
        <w:bottom w:val="none" w:sz="0" w:space="0" w:color="auto"/>
        <w:right w:val="none" w:sz="0" w:space="0" w:color="auto"/>
      </w:divBdr>
    </w:div>
    <w:div w:id="15742873">
      <w:bodyDiv w:val="1"/>
      <w:marLeft w:val="0"/>
      <w:marRight w:val="0"/>
      <w:marTop w:val="0"/>
      <w:marBottom w:val="0"/>
      <w:divBdr>
        <w:top w:val="none" w:sz="0" w:space="0" w:color="auto"/>
        <w:left w:val="none" w:sz="0" w:space="0" w:color="auto"/>
        <w:bottom w:val="none" w:sz="0" w:space="0" w:color="auto"/>
        <w:right w:val="none" w:sz="0" w:space="0" w:color="auto"/>
      </w:divBdr>
    </w:div>
    <w:div w:id="16391448">
      <w:bodyDiv w:val="1"/>
      <w:marLeft w:val="0"/>
      <w:marRight w:val="0"/>
      <w:marTop w:val="0"/>
      <w:marBottom w:val="0"/>
      <w:divBdr>
        <w:top w:val="none" w:sz="0" w:space="0" w:color="auto"/>
        <w:left w:val="none" w:sz="0" w:space="0" w:color="auto"/>
        <w:bottom w:val="none" w:sz="0" w:space="0" w:color="auto"/>
        <w:right w:val="none" w:sz="0" w:space="0" w:color="auto"/>
      </w:divBdr>
      <w:divsChild>
        <w:div w:id="1479684409">
          <w:marLeft w:val="0"/>
          <w:marRight w:val="0"/>
          <w:marTop w:val="0"/>
          <w:marBottom w:val="0"/>
          <w:divBdr>
            <w:top w:val="none" w:sz="0" w:space="0" w:color="auto"/>
            <w:left w:val="none" w:sz="0" w:space="0" w:color="auto"/>
            <w:bottom w:val="none" w:sz="0" w:space="0" w:color="auto"/>
            <w:right w:val="none" w:sz="0" w:space="0" w:color="auto"/>
          </w:divBdr>
        </w:div>
      </w:divsChild>
    </w:div>
    <w:div w:id="25063477">
      <w:bodyDiv w:val="1"/>
      <w:marLeft w:val="0"/>
      <w:marRight w:val="0"/>
      <w:marTop w:val="0"/>
      <w:marBottom w:val="0"/>
      <w:divBdr>
        <w:top w:val="none" w:sz="0" w:space="0" w:color="auto"/>
        <w:left w:val="none" w:sz="0" w:space="0" w:color="auto"/>
        <w:bottom w:val="none" w:sz="0" w:space="0" w:color="auto"/>
        <w:right w:val="none" w:sz="0" w:space="0" w:color="auto"/>
      </w:divBdr>
    </w:div>
    <w:div w:id="29570174">
      <w:bodyDiv w:val="1"/>
      <w:marLeft w:val="0"/>
      <w:marRight w:val="0"/>
      <w:marTop w:val="0"/>
      <w:marBottom w:val="0"/>
      <w:divBdr>
        <w:top w:val="none" w:sz="0" w:space="0" w:color="auto"/>
        <w:left w:val="none" w:sz="0" w:space="0" w:color="auto"/>
        <w:bottom w:val="none" w:sz="0" w:space="0" w:color="auto"/>
        <w:right w:val="none" w:sz="0" w:space="0" w:color="auto"/>
      </w:divBdr>
    </w:div>
    <w:div w:id="32776005">
      <w:bodyDiv w:val="1"/>
      <w:marLeft w:val="0"/>
      <w:marRight w:val="0"/>
      <w:marTop w:val="0"/>
      <w:marBottom w:val="0"/>
      <w:divBdr>
        <w:top w:val="none" w:sz="0" w:space="0" w:color="auto"/>
        <w:left w:val="none" w:sz="0" w:space="0" w:color="auto"/>
        <w:bottom w:val="none" w:sz="0" w:space="0" w:color="auto"/>
        <w:right w:val="none" w:sz="0" w:space="0" w:color="auto"/>
      </w:divBdr>
    </w:div>
    <w:div w:id="46684813">
      <w:bodyDiv w:val="1"/>
      <w:marLeft w:val="0"/>
      <w:marRight w:val="0"/>
      <w:marTop w:val="0"/>
      <w:marBottom w:val="0"/>
      <w:divBdr>
        <w:top w:val="none" w:sz="0" w:space="0" w:color="auto"/>
        <w:left w:val="none" w:sz="0" w:space="0" w:color="auto"/>
        <w:bottom w:val="none" w:sz="0" w:space="0" w:color="auto"/>
        <w:right w:val="none" w:sz="0" w:space="0" w:color="auto"/>
      </w:divBdr>
      <w:divsChild>
        <w:div w:id="1381830670">
          <w:marLeft w:val="0"/>
          <w:marRight w:val="0"/>
          <w:marTop w:val="0"/>
          <w:marBottom w:val="0"/>
          <w:divBdr>
            <w:top w:val="none" w:sz="0" w:space="0" w:color="auto"/>
            <w:left w:val="none" w:sz="0" w:space="0" w:color="auto"/>
            <w:bottom w:val="none" w:sz="0" w:space="0" w:color="auto"/>
            <w:right w:val="none" w:sz="0" w:space="0" w:color="auto"/>
          </w:divBdr>
        </w:div>
      </w:divsChild>
    </w:div>
    <w:div w:id="48922588">
      <w:bodyDiv w:val="1"/>
      <w:marLeft w:val="0"/>
      <w:marRight w:val="0"/>
      <w:marTop w:val="0"/>
      <w:marBottom w:val="0"/>
      <w:divBdr>
        <w:top w:val="none" w:sz="0" w:space="0" w:color="auto"/>
        <w:left w:val="none" w:sz="0" w:space="0" w:color="auto"/>
        <w:bottom w:val="none" w:sz="0" w:space="0" w:color="auto"/>
        <w:right w:val="none" w:sz="0" w:space="0" w:color="auto"/>
      </w:divBdr>
      <w:divsChild>
        <w:div w:id="187258362">
          <w:marLeft w:val="0"/>
          <w:marRight w:val="0"/>
          <w:marTop w:val="0"/>
          <w:marBottom w:val="0"/>
          <w:divBdr>
            <w:top w:val="none" w:sz="0" w:space="0" w:color="auto"/>
            <w:left w:val="none" w:sz="0" w:space="0" w:color="auto"/>
            <w:bottom w:val="none" w:sz="0" w:space="0" w:color="auto"/>
            <w:right w:val="none" w:sz="0" w:space="0" w:color="auto"/>
          </w:divBdr>
        </w:div>
      </w:divsChild>
    </w:div>
    <w:div w:id="50740260">
      <w:bodyDiv w:val="1"/>
      <w:marLeft w:val="0"/>
      <w:marRight w:val="0"/>
      <w:marTop w:val="0"/>
      <w:marBottom w:val="0"/>
      <w:divBdr>
        <w:top w:val="none" w:sz="0" w:space="0" w:color="auto"/>
        <w:left w:val="none" w:sz="0" w:space="0" w:color="auto"/>
        <w:bottom w:val="none" w:sz="0" w:space="0" w:color="auto"/>
        <w:right w:val="none" w:sz="0" w:space="0" w:color="auto"/>
      </w:divBdr>
      <w:divsChild>
        <w:div w:id="574902021">
          <w:marLeft w:val="0"/>
          <w:marRight w:val="0"/>
          <w:marTop w:val="0"/>
          <w:marBottom w:val="0"/>
          <w:divBdr>
            <w:top w:val="none" w:sz="0" w:space="0" w:color="auto"/>
            <w:left w:val="none" w:sz="0" w:space="0" w:color="auto"/>
            <w:bottom w:val="none" w:sz="0" w:space="0" w:color="auto"/>
            <w:right w:val="none" w:sz="0" w:space="0" w:color="auto"/>
          </w:divBdr>
        </w:div>
      </w:divsChild>
    </w:div>
    <w:div w:id="59058788">
      <w:bodyDiv w:val="1"/>
      <w:marLeft w:val="0"/>
      <w:marRight w:val="0"/>
      <w:marTop w:val="0"/>
      <w:marBottom w:val="0"/>
      <w:divBdr>
        <w:top w:val="none" w:sz="0" w:space="0" w:color="auto"/>
        <w:left w:val="none" w:sz="0" w:space="0" w:color="auto"/>
        <w:bottom w:val="none" w:sz="0" w:space="0" w:color="auto"/>
        <w:right w:val="none" w:sz="0" w:space="0" w:color="auto"/>
      </w:divBdr>
    </w:div>
    <w:div w:id="65421989">
      <w:bodyDiv w:val="1"/>
      <w:marLeft w:val="0"/>
      <w:marRight w:val="0"/>
      <w:marTop w:val="0"/>
      <w:marBottom w:val="0"/>
      <w:divBdr>
        <w:top w:val="none" w:sz="0" w:space="0" w:color="auto"/>
        <w:left w:val="none" w:sz="0" w:space="0" w:color="auto"/>
        <w:bottom w:val="none" w:sz="0" w:space="0" w:color="auto"/>
        <w:right w:val="none" w:sz="0" w:space="0" w:color="auto"/>
      </w:divBdr>
      <w:divsChild>
        <w:div w:id="1457220195">
          <w:marLeft w:val="0"/>
          <w:marRight w:val="0"/>
          <w:marTop w:val="0"/>
          <w:marBottom w:val="0"/>
          <w:divBdr>
            <w:top w:val="none" w:sz="0" w:space="0" w:color="auto"/>
            <w:left w:val="none" w:sz="0" w:space="0" w:color="auto"/>
            <w:bottom w:val="none" w:sz="0" w:space="0" w:color="auto"/>
            <w:right w:val="none" w:sz="0" w:space="0" w:color="auto"/>
          </w:divBdr>
        </w:div>
      </w:divsChild>
    </w:div>
    <w:div w:id="87891962">
      <w:bodyDiv w:val="1"/>
      <w:marLeft w:val="0"/>
      <w:marRight w:val="0"/>
      <w:marTop w:val="0"/>
      <w:marBottom w:val="0"/>
      <w:divBdr>
        <w:top w:val="none" w:sz="0" w:space="0" w:color="auto"/>
        <w:left w:val="none" w:sz="0" w:space="0" w:color="auto"/>
        <w:bottom w:val="none" w:sz="0" w:space="0" w:color="auto"/>
        <w:right w:val="none" w:sz="0" w:space="0" w:color="auto"/>
      </w:divBdr>
      <w:divsChild>
        <w:div w:id="140541257">
          <w:marLeft w:val="0"/>
          <w:marRight w:val="0"/>
          <w:marTop w:val="0"/>
          <w:marBottom w:val="0"/>
          <w:divBdr>
            <w:top w:val="none" w:sz="0" w:space="0" w:color="auto"/>
            <w:left w:val="none" w:sz="0" w:space="0" w:color="auto"/>
            <w:bottom w:val="none" w:sz="0" w:space="0" w:color="auto"/>
            <w:right w:val="none" w:sz="0" w:space="0" w:color="auto"/>
          </w:divBdr>
        </w:div>
      </w:divsChild>
    </w:div>
    <w:div w:id="101649535">
      <w:bodyDiv w:val="1"/>
      <w:marLeft w:val="0"/>
      <w:marRight w:val="0"/>
      <w:marTop w:val="0"/>
      <w:marBottom w:val="0"/>
      <w:divBdr>
        <w:top w:val="none" w:sz="0" w:space="0" w:color="auto"/>
        <w:left w:val="none" w:sz="0" w:space="0" w:color="auto"/>
        <w:bottom w:val="none" w:sz="0" w:space="0" w:color="auto"/>
        <w:right w:val="none" w:sz="0" w:space="0" w:color="auto"/>
      </w:divBdr>
      <w:divsChild>
        <w:div w:id="1219584120">
          <w:marLeft w:val="0"/>
          <w:marRight w:val="0"/>
          <w:marTop w:val="0"/>
          <w:marBottom w:val="0"/>
          <w:divBdr>
            <w:top w:val="none" w:sz="0" w:space="0" w:color="auto"/>
            <w:left w:val="none" w:sz="0" w:space="0" w:color="auto"/>
            <w:bottom w:val="none" w:sz="0" w:space="0" w:color="auto"/>
            <w:right w:val="none" w:sz="0" w:space="0" w:color="auto"/>
          </w:divBdr>
        </w:div>
      </w:divsChild>
    </w:div>
    <w:div w:id="108744686">
      <w:bodyDiv w:val="1"/>
      <w:marLeft w:val="0"/>
      <w:marRight w:val="0"/>
      <w:marTop w:val="0"/>
      <w:marBottom w:val="0"/>
      <w:divBdr>
        <w:top w:val="none" w:sz="0" w:space="0" w:color="auto"/>
        <w:left w:val="none" w:sz="0" w:space="0" w:color="auto"/>
        <w:bottom w:val="none" w:sz="0" w:space="0" w:color="auto"/>
        <w:right w:val="none" w:sz="0" w:space="0" w:color="auto"/>
      </w:divBdr>
      <w:divsChild>
        <w:div w:id="206260473">
          <w:marLeft w:val="0"/>
          <w:marRight w:val="0"/>
          <w:marTop w:val="0"/>
          <w:marBottom w:val="0"/>
          <w:divBdr>
            <w:top w:val="none" w:sz="0" w:space="0" w:color="auto"/>
            <w:left w:val="none" w:sz="0" w:space="0" w:color="auto"/>
            <w:bottom w:val="none" w:sz="0" w:space="0" w:color="auto"/>
            <w:right w:val="none" w:sz="0" w:space="0" w:color="auto"/>
          </w:divBdr>
        </w:div>
      </w:divsChild>
    </w:div>
    <w:div w:id="109056061">
      <w:bodyDiv w:val="1"/>
      <w:marLeft w:val="0"/>
      <w:marRight w:val="0"/>
      <w:marTop w:val="0"/>
      <w:marBottom w:val="0"/>
      <w:divBdr>
        <w:top w:val="none" w:sz="0" w:space="0" w:color="auto"/>
        <w:left w:val="none" w:sz="0" w:space="0" w:color="auto"/>
        <w:bottom w:val="none" w:sz="0" w:space="0" w:color="auto"/>
        <w:right w:val="none" w:sz="0" w:space="0" w:color="auto"/>
      </w:divBdr>
      <w:divsChild>
        <w:div w:id="1878815816">
          <w:marLeft w:val="0"/>
          <w:marRight w:val="0"/>
          <w:marTop w:val="0"/>
          <w:marBottom w:val="0"/>
          <w:divBdr>
            <w:top w:val="none" w:sz="0" w:space="0" w:color="auto"/>
            <w:left w:val="none" w:sz="0" w:space="0" w:color="auto"/>
            <w:bottom w:val="none" w:sz="0" w:space="0" w:color="auto"/>
            <w:right w:val="none" w:sz="0" w:space="0" w:color="auto"/>
          </w:divBdr>
        </w:div>
      </w:divsChild>
    </w:div>
    <w:div w:id="109473922">
      <w:bodyDiv w:val="1"/>
      <w:marLeft w:val="0"/>
      <w:marRight w:val="0"/>
      <w:marTop w:val="0"/>
      <w:marBottom w:val="0"/>
      <w:divBdr>
        <w:top w:val="none" w:sz="0" w:space="0" w:color="auto"/>
        <w:left w:val="none" w:sz="0" w:space="0" w:color="auto"/>
        <w:bottom w:val="none" w:sz="0" w:space="0" w:color="auto"/>
        <w:right w:val="none" w:sz="0" w:space="0" w:color="auto"/>
      </w:divBdr>
      <w:divsChild>
        <w:div w:id="551845770">
          <w:marLeft w:val="0"/>
          <w:marRight w:val="0"/>
          <w:marTop w:val="0"/>
          <w:marBottom w:val="0"/>
          <w:divBdr>
            <w:top w:val="none" w:sz="0" w:space="0" w:color="auto"/>
            <w:left w:val="none" w:sz="0" w:space="0" w:color="auto"/>
            <w:bottom w:val="none" w:sz="0" w:space="0" w:color="auto"/>
            <w:right w:val="none" w:sz="0" w:space="0" w:color="auto"/>
          </w:divBdr>
        </w:div>
      </w:divsChild>
    </w:div>
    <w:div w:id="111175295">
      <w:bodyDiv w:val="1"/>
      <w:marLeft w:val="0"/>
      <w:marRight w:val="0"/>
      <w:marTop w:val="0"/>
      <w:marBottom w:val="0"/>
      <w:divBdr>
        <w:top w:val="none" w:sz="0" w:space="0" w:color="auto"/>
        <w:left w:val="none" w:sz="0" w:space="0" w:color="auto"/>
        <w:bottom w:val="none" w:sz="0" w:space="0" w:color="auto"/>
        <w:right w:val="none" w:sz="0" w:space="0" w:color="auto"/>
      </w:divBdr>
    </w:div>
    <w:div w:id="113600903">
      <w:bodyDiv w:val="1"/>
      <w:marLeft w:val="0"/>
      <w:marRight w:val="0"/>
      <w:marTop w:val="0"/>
      <w:marBottom w:val="0"/>
      <w:divBdr>
        <w:top w:val="none" w:sz="0" w:space="0" w:color="auto"/>
        <w:left w:val="none" w:sz="0" w:space="0" w:color="auto"/>
        <w:bottom w:val="none" w:sz="0" w:space="0" w:color="auto"/>
        <w:right w:val="none" w:sz="0" w:space="0" w:color="auto"/>
      </w:divBdr>
      <w:divsChild>
        <w:div w:id="1665359015">
          <w:marLeft w:val="0"/>
          <w:marRight w:val="0"/>
          <w:marTop w:val="0"/>
          <w:marBottom w:val="0"/>
          <w:divBdr>
            <w:top w:val="none" w:sz="0" w:space="0" w:color="auto"/>
            <w:left w:val="none" w:sz="0" w:space="0" w:color="auto"/>
            <w:bottom w:val="none" w:sz="0" w:space="0" w:color="auto"/>
            <w:right w:val="none" w:sz="0" w:space="0" w:color="auto"/>
          </w:divBdr>
        </w:div>
      </w:divsChild>
    </w:div>
    <w:div w:id="114561650">
      <w:bodyDiv w:val="1"/>
      <w:marLeft w:val="0"/>
      <w:marRight w:val="0"/>
      <w:marTop w:val="0"/>
      <w:marBottom w:val="0"/>
      <w:divBdr>
        <w:top w:val="none" w:sz="0" w:space="0" w:color="auto"/>
        <w:left w:val="none" w:sz="0" w:space="0" w:color="auto"/>
        <w:bottom w:val="none" w:sz="0" w:space="0" w:color="auto"/>
        <w:right w:val="none" w:sz="0" w:space="0" w:color="auto"/>
      </w:divBdr>
      <w:divsChild>
        <w:div w:id="434986751">
          <w:marLeft w:val="0"/>
          <w:marRight w:val="0"/>
          <w:marTop w:val="0"/>
          <w:marBottom w:val="0"/>
          <w:divBdr>
            <w:top w:val="none" w:sz="0" w:space="0" w:color="auto"/>
            <w:left w:val="none" w:sz="0" w:space="0" w:color="auto"/>
            <w:bottom w:val="none" w:sz="0" w:space="0" w:color="auto"/>
            <w:right w:val="none" w:sz="0" w:space="0" w:color="auto"/>
          </w:divBdr>
        </w:div>
      </w:divsChild>
    </w:div>
    <w:div w:id="118837108">
      <w:bodyDiv w:val="1"/>
      <w:marLeft w:val="0"/>
      <w:marRight w:val="0"/>
      <w:marTop w:val="0"/>
      <w:marBottom w:val="0"/>
      <w:divBdr>
        <w:top w:val="none" w:sz="0" w:space="0" w:color="auto"/>
        <w:left w:val="none" w:sz="0" w:space="0" w:color="auto"/>
        <w:bottom w:val="none" w:sz="0" w:space="0" w:color="auto"/>
        <w:right w:val="none" w:sz="0" w:space="0" w:color="auto"/>
      </w:divBdr>
    </w:div>
    <w:div w:id="136532788">
      <w:bodyDiv w:val="1"/>
      <w:marLeft w:val="0"/>
      <w:marRight w:val="0"/>
      <w:marTop w:val="0"/>
      <w:marBottom w:val="0"/>
      <w:divBdr>
        <w:top w:val="none" w:sz="0" w:space="0" w:color="auto"/>
        <w:left w:val="none" w:sz="0" w:space="0" w:color="auto"/>
        <w:bottom w:val="none" w:sz="0" w:space="0" w:color="auto"/>
        <w:right w:val="none" w:sz="0" w:space="0" w:color="auto"/>
      </w:divBdr>
      <w:divsChild>
        <w:div w:id="440078814">
          <w:marLeft w:val="0"/>
          <w:marRight w:val="0"/>
          <w:marTop w:val="0"/>
          <w:marBottom w:val="0"/>
          <w:divBdr>
            <w:top w:val="none" w:sz="0" w:space="0" w:color="auto"/>
            <w:left w:val="none" w:sz="0" w:space="0" w:color="auto"/>
            <w:bottom w:val="none" w:sz="0" w:space="0" w:color="auto"/>
            <w:right w:val="none" w:sz="0" w:space="0" w:color="auto"/>
          </w:divBdr>
        </w:div>
      </w:divsChild>
    </w:div>
    <w:div w:id="156115299">
      <w:bodyDiv w:val="1"/>
      <w:marLeft w:val="0"/>
      <w:marRight w:val="0"/>
      <w:marTop w:val="0"/>
      <w:marBottom w:val="0"/>
      <w:divBdr>
        <w:top w:val="none" w:sz="0" w:space="0" w:color="auto"/>
        <w:left w:val="none" w:sz="0" w:space="0" w:color="auto"/>
        <w:bottom w:val="none" w:sz="0" w:space="0" w:color="auto"/>
        <w:right w:val="none" w:sz="0" w:space="0" w:color="auto"/>
      </w:divBdr>
      <w:divsChild>
        <w:div w:id="1141070651">
          <w:marLeft w:val="0"/>
          <w:marRight w:val="0"/>
          <w:marTop w:val="0"/>
          <w:marBottom w:val="0"/>
          <w:divBdr>
            <w:top w:val="none" w:sz="0" w:space="0" w:color="auto"/>
            <w:left w:val="none" w:sz="0" w:space="0" w:color="auto"/>
            <w:bottom w:val="none" w:sz="0" w:space="0" w:color="auto"/>
            <w:right w:val="none" w:sz="0" w:space="0" w:color="auto"/>
          </w:divBdr>
        </w:div>
      </w:divsChild>
    </w:div>
    <w:div w:id="162748709">
      <w:bodyDiv w:val="1"/>
      <w:marLeft w:val="0"/>
      <w:marRight w:val="0"/>
      <w:marTop w:val="0"/>
      <w:marBottom w:val="0"/>
      <w:divBdr>
        <w:top w:val="none" w:sz="0" w:space="0" w:color="auto"/>
        <w:left w:val="none" w:sz="0" w:space="0" w:color="auto"/>
        <w:bottom w:val="none" w:sz="0" w:space="0" w:color="auto"/>
        <w:right w:val="none" w:sz="0" w:space="0" w:color="auto"/>
      </w:divBdr>
      <w:divsChild>
        <w:div w:id="1939750016">
          <w:marLeft w:val="0"/>
          <w:marRight w:val="0"/>
          <w:marTop w:val="0"/>
          <w:marBottom w:val="0"/>
          <w:divBdr>
            <w:top w:val="none" w:sz="0" w:space="0" w:color="auto"/>
            <w:left w:val="none" w:sz="0" w:space="0" w:color="auto"/>
            <w:bottom w:val="none" w:sz="0" w:space="0" w:color="auto"/>
            <w:right w:val="none" w:sz="0" w:space="0" w:color="auto"/>
          </w:divBdr>
        </w:div>
      </w:divsChild>
    </w:div>
    <w:div w:id="163936703">
      <w:bodyDiv w:val="1"/>
      <w:marLeft w:val="0"/>
      <w:marRight w:val="0"/>
      <w:marTop w:val="0"/>
      <w:marBottom w:val="0"/>
      <w:divBdr>
        <w:top w:val="none" w:sz="0" w:space="0" w:color="auto"/>
        <w:left w:val="none" w:sz="0" w:space="0" w:color="auto"/>
        <w:bottom w:val="none" w:sz="0" w:space="0" w:color="auto"/>
        <w:right w:val="none" w:sz="0" w:space="0" w:color="auto"/>
      </w:divBdr>
      <w:divsChild>
        <w:div w:id="1526215000">
          <w:marLeft w:val="0"/>
          <w:marRight w:val="0"/>
          <w:marTop w:val="0"/>
          <w:marBottom w:val="0"/>
          <w:divBdr>
            <w:top w:val="none" w:sz="0" w:space="0" w:color="auto"/>
            <w:left w:val="none" w:sz="0" w:space="0" w:color="auto"/>
            <w:bottom w:val="none" w:sz="0" w:space="0" w:color="auto"/>
            <w:right w:val="none" w:sz="0" w:space="0" w:color="auto"/>
          </w:divBdr>
        </w:div>
      </w:divsChild>
    </w:div>
    <w:div w:id="164906187">
      <w:bodyDiv w:val="1"/>
      <w:marLeft w:val="0"/>
      <w:marRight w:val="0"/>
      <w:marTop w:val="0"/>
      <w:marBottom w:val="0"/>
      <w:divBdr>
        <w:top w:val="none" w:sz="0" w:space="0" w:color="auto"/>
        <w:left w:val="none" w:sz="0" w:space="0" w:color="auto"/>
        <w:bottom w:val="none" w:sz="0" w:space="0" w:color="auto"/>
        <w:right w:val="none" w:sz="0" w:space="0" w:color="auto"/>
      </w:divBdr>
      <w:divsChild>
        <w:div w:id="1392315029">
          <w:marLeft w:val="0"/>
          <w:marRight w:val="0"/>
          <w:marTop w:val="0"/>
          <w:marBottom w:val="0"/>
          <w:divBdr>
            <w:top w:val="none" w:sz="0" w:space="0" w:color="auto"/>
            <w:left w:val="none" w:sz="0" w:space="0" w:color="auto"/>
            <w:bottom w:val="none" w:sz="0" w:space="0" w:color="auto"/>
            <w:right w:val="none" w:sz="0" w:space="0" w:color="auto"/>
          </w:divBdr>
        </w:div>
      </w:divsChild>
    </w:div>
    <w:div w:id="182982919">
      <w:bodyDiv w:val="1"/>
      <w:marLeft w:val="0"/>
      <w:marRight w:val="0"/>
      <w:marTop w:val="0"/>
      <w:marBottom w:val="0"/>
      <w:divBdr>
        <w:top w:val="none" w:sz="0" w:space="0" w:color="auto"/>
        <w:left w:val="none" w:sz="0" w:space="0" w:color="auto"/>
        <w:bottom w:val="none" w:sz="0" w:space="0" w:color="auto"/>
        <w:right w:val="none" w:sz="0" w:space="0" w:color="auto"/>
      </w:divBdr>
      <w:divsChild>
        <w:div w:id="358821231">
          <w:marLeft w:val="0"/>
          <w:marRight w:val="0"/>
          <w:marTop w:val="0"/>
          <w:marBottom w:val="0"/>
          <w:divBdr>
            <w:top w:val="none" w:sz="0" w:space="0" w:color="auto"/>
            <w:left w:val="none" w:sz="0" w:space="0" w:color="auto"/>
            <w:bottom w:val="none" w:sz="0" w:space="0" w:color="auto"/>
            <w:right w:val="none" w:sz="0" w:space="0" w:color="auto"/>
          </w:divBdr>
        </w:div>
      </w:divsChild>
    </w:div>
    <w:div w:id="184178717">
      <w:bodyDiv w:val="1"/>
      <w:marLeft w:val="0"/>
      <w:marRight w:val="0"/>
      <w:marTop w:val="0"/>
      <w:marBottom w:val="0"/>
      <w:divBdr>
        <w:top w:val="none" w:sz="0" w:space="0" w:color="auto"/>
        <w:left w:val="none" w:sz="0" w:space="0" w:color="auto"/>
        <w:bottom w:val="none" w:sz="0" w:space="0" w:color="auto"/>
        <w:right w:val="none" w:sz="0" w:space="0" w:color="auto"/>
      </w:divBdr>
    </w:div>
    <w:div w:id="192159227">
      <w:bodyDiv w:val="1"/>
      <w:marLeft w:val="0"/>
      <w:marRight w:val="0"/>
      <w:marTop w:val="0"/>
      <w:marBottom w:val="0"/>
      <w:divBdr>
        <w:top w:val="none" w:sz="0" w:space="0" w:color="auto"/>
        <w:left w:val="none" w:sz="0" w:space="0" w:color="auto"/>
        <w:bottom w:val="none" w:sz="0" w:space="0" w:color="auto"/>
        <w:right w:val="none" w:sz="0" w:space="0" w:color="auto"/>
      </w:divBdr>
      <w:divsChild>
        <w:div w:id="1430006387">
          <w:marLeft w:val="0"/>
          <w:marRight w:val="0"/>
          <w:marTop w:val="0"/>
          <w:marBottom w:val="0"/>
          <w:divBdr>
            <w:top w:val="none" w:sz="0" w:space="0" w:color="auto"/>
            <w:left w:val="none" w:sz="0" w:space="0" w:color="auto"/>
            <w:bottom w:val="none" w:sz="0" w:space="0" w:color="auto"/>
            <w:right w:val="none" w:sz="0" w:space="0" w:color="auto"/>
          </w:divBdr>
        </w:div>
      </w:divsChild>
    </w:div>
    <w:div w:id="207837634">
      <w:bodyDiv w:val="1"/>
      <w:marLeft w:val="0"/>
      <w:marRight w:val="0"/>
      <w:marTop w:val="0"/>
      <w:marBottom w:val="0"/>
      <w:divBdr>
        <w:top w:val="none" w:sz="0" w:space="0" w:color="auto"/>
        <w:left w:val="none" w:sz="0" w:space="0" w:color="auto"/>
        <w:bottom w:val="none" w:sz="0" w:space="0" w:color="auto"/>
        <w:right w:val="none" w:sz="0" w:space="0" w:color="auto"/>
      </w:divBdr>
    </w:div>
    <w:div w:id="208954581">
      <w:bodyDiv w:val="1"/>
      <w:marLeft w:val="0"/>
      <w:marRight w:val="0"/>
      <w:marTop w:val="0"/>
      <w:marBottom w:val="0"/>
      <w:divBdr>
        <w:top w:val="none" w:sz="0" w:space="0" w:color="auto"/>
        <w:left w:val="none" w:sz="0" w:space="0" w:color="auto"/>
        <w:bottom w:val="none" w:sz="0" w:space="0" w:color="auto"/>
        <w:right w:val="none" w:sz="0" w:space="0" w:color="auto"/>
      </w:divBdr>
      <w:divsChild>
        <w:div w:id="48765594">
          <w:marLeft w:val="0"/>
          <w:marRight w:val="0"/>
          <w:marTop w:val="0"/>
          <w:marBottom w:val="0"/>
          <w:divBdr>
            <w:top w:val="none" w:sz="0" w:space="0" w:color="auto"/>
            <w:left w:val="none" w:sz="0" w:space="0" w:color="auto"/>
            <w:bottom w:val="none" w:sz="0" w:space="0" w:color="auto"/>
            <w:right w:val="none" w:sz="0" w:space="0" w:color="auto"/>
          </w:divBdr>
        </w:div>
      </w:divsChild>
    </w:div>
    <w:div w:id="211308669">
      <w:bodyDiv w:val="1"/>
      <w:marLeft w:val="0"/>
      <w:marRight w:val="0"/>
      <w:marTop w:val="0"/>
      <w:marBottom w:val="0"/>
      <w:divBdr>
        <w:top w:val="none" w:sz="0" w:space="0" w:color="auto"/>
        <w:left w:val="none" w:sz="0" w:space="0" w:color="auto"/>
        <w:bottom w:val="none" w:sz="0" w:space="0" w:color="auto"/>
        <w:right w:val="none" w:sz="0" w:space="0" w:color="auto"/>
      </w:divBdr>
      <w:divsChild>
        <w:div w:id="1317607342">
          <w:marLeft w:val="0"/>
          <w:marRight w:val="0"/>
          <w:marTop w:val="0"/>
          <w:marBottom w:val="0"/>
          <w:divBdr>
            <w:top w:val="none" w:sz="0" w:space="0" w:color="auto"/>
            <w:left w:val="none" w:sz="0" w:space="0" w:color="auto"/>
            <w:bottom w:val="none" w:sz="0" w:space="0" w:color="auto"/>
            <w:right w:val="none" w:sz="0" w:space="0" w:color="auto"/>
          </w:divBdr>
        </w:div>
      </w:divsChild>
    </w:div>
    <w:div w:id="222955874">
      <w:bodyDiv w:val="1"/>
      <w:marLeft w:val="0"/>
      <w:marRight w:val="0"/>
      <w:marTop w:val="0"/>
      <w:marBottom w:val="0"/>
      <w:divBdr>
        <w:top w:val="none" w:sz="0" w:space="0" w:color="auto"/>
        <w:left w:val="none" w:sz="0" w:space="0" w:color="auto"/>
        <w:bottom w:val="none" w:sz="0" w:space="0" w:color="auto"/>
        <w:right w:val="none" w:sz="0" w:space="0" w:color="auto"/>
      </w:divBdr>
      <w:divsChild>
        <w:div w:id="911426715">
          <w:marLeft w:val="0"/>
          <w:marRight w:val="0"/>
          <w:marTop w:val="0"/>
          <w:marBottom w:val="0"/>
          <w:divBdr>
            <w:top w:val="none" w:sz="0" w:space="0" w:color="auto"/>
            <w:left w:val="none" w:sz="0" w:space="0" w:color="auto"/>
            <w:bottom w:val="none" w:sz="0" w:space="0" w:color="auto"/>
            <w:right w:val="none" w:sz="0" w:space="0" w:color="auto"/>
          </w:divBdr>
        </w:div>
      </w:divsChild>
    </w:div>
    <w:div w:id="224998418">
      <w:bodyDiv w:val="1"/>
      <w:marLeft w:val="0"/>
      <w:marRight w:val="0"/>
      <w:marTop w:val="0"/>
      <w:marBottom w:val="0"/>
      <w:divBdr>
        <w:top w:val="none" w:sz="0" w:space="0" w:color="auto"/>
        <w:left w:val="none" w:sz="0" w:space="0" w:color="auto"/>
        <w:bottom w:val="none" w:sz="0" w:space="0" w:color="auto"/>
        <w:right w:val="none" w:sz="0" w:space="0" w:color="auto"/>
      </w:divBdr>
      <w:divsChild>
        <w:div w:id="2071731162">
          <w:marLeft w:val="0"/>
          <w:marRight w:val="0"/>
          <w:marTop w:val="0"/>
          <w:marBottom w:val="0"/>
          <w:divBdr>
            <w:top w:val="none" w:sz="0" w:space="0" w:color="auto"/>
            <w:left w:val="none" w:sz="0" w:space="0" w:color="auto"/>
            <w:bottom w:val="none" w:sz="0" w:space="0" w:color="auto"/>
            <w:right w:val="none" w:sz="0" w:space="0" w:color="auto"/>
          </w:divBdr>
        </w:div>
      </w:divsChild>
    </w:div>
    <w:div w:id="242302880">
      <w:bodyDiv w:val="1"/>
      <w:marLeft w:val="0"/>
      <w:marRight w:val="0"/>
      <w:marTop w:val="0"/>
      <w:marBottom w:val="0"/>
      <w:divBdr>
        <w:top w:val="none" w:sz="0" w:space="0" w:color="auto"/>
        <w:left w:val="none" w:sz="0" w:space="0" w:color="auto"/>
        <w:bottom w:val="none" w:sz="0" w:space="0" w:color="auto"/>
        <w:right w:val="none" w:sz="0" w:space="0" w:color="auto"/>
      </w:divBdr>
    </w:div>
    <w:div w:id="266618267">
      <w:bodyDiv w:val="1"/>
      <w:marLeft w:val="0"/>
      <w:marRight w:val="0"/>
      <w:marTop w:val="0"/>
      <w:marBottom w:val="0"/>
      <w:divBdr>
        <w:top w:val="none" w:sz="0" w:space="0" w:color="auto"/>
        <w:left w:val="none" w:sz="0" w:space="0" w:color="auto"/>
        <w:bottom w:val="none" w:sz="0" w:space="0" w:color="auto"/>
        <w:right w:val="none" w:sz="0" w:space="0" w:color="auto"/>
      </w:divBdr>
      <w:divsChild>
        <w:div w:id="717825140">
          <w:marLeft w:val="0"/>
          <w:marRight w:val="0"/>
          <w:marTop w:val="0"/>
          <w:marBottom w:val="0"/>
          <w:divBdr>
            <w:top w:val="none" w:sz="0" w:space="0" w:color="auto"/>
            <w:left w:val="none" w:sz="0" w:space="0" w:color="auto"/>
            <w:bottom w:val="none" w:sz="0" w:space="0" w:color="auto"/>
            <w:right w:val="none" w:sz="0" w:space="0" w:color="auto"/>
          </w:divBdr>
        </w:div>
      </w:divsChild>
    </w:div>
    <w:div w:id="271324026">
      <w:bodyDiv w:val="1"/>
      <w:marLeft w:val="0"/>
      <w:marRight w:val="0"/>
      <w:marTop w:val="0"/>
      <w:marBottom w:val="0"/>
      <w:divBdr>
        <w:top w:val="none" w:sz="0" w:space="0" w:color="auto"/>
        <w:left w:val="none" w:sz="0" w:space="0" w:color="auto"/>
        <w:bottom w:val="none" w:sz="0" w:space="0" w:color="auto"/>
        <w:right w:val="none" w:sz="0" w:space="0" w:color="auto"/>
      </w:divBdr>
      <w:divsChild>
        <w:div w:id="557128860">
          <w:marLeft w:val="0"/>
          <w:marRight w:val="0"/>
          <w:marTop w:val="0"/>
          <w:marBottom w:val="0"/>
          <w:divBdr>
            <w:top w:val="none" w:sz="0" w:space="0" w:color="auto"/>
            <w:left w:val="none" w:sz="0" w:space="0" w:color="auto"/>
            <w:bottom w:val="none" w:sz="0" w:space="0" w:color="auto"/>
            <w:right w:val="none" w:sz="0" w:space="0" w:color="auto"/>
          </w:divBdr>
        </w:div>
      </w:divsChild>
    </w:div>
    <w:div w:id="271593402">
      <w:bodyDiv w:val="1"/>
      <w:marLeft w:val="0"/>
      <w:marRight w:val="0"/>
      <w:marTop w:val="0"/>
      <w:marBottom w:val="0"/>
      <w:divBdr>
        <w:top w:val="none" w:sz="0" w:space="0" w:color="auto"/>
        <w:left w:val="none" w:sz="0" w:space="0" w:color="auto"/>
        <w:bottom w:val="none" w:sz="0" w:space="0" w:color="auto"/>
        <w:right w:val="none" w:sz="0" w:space="0" w:color="auto"/>
      </w:divBdr>
      <w:divsChild>
        <w:div w:id="1891501207">
          <w:marLeft w:val="0"/>
          <w:marRight w:val="0"/>
          <w:marTop w:val="0"/>
          <w:marBottom w:val="0"/>
          <w:divBdr>
            <w:top w:val="none" w:sz="0" w:space="0" w:color="auto"/>
            <w:left w:val="none" w:sz="0" w:space="0" w:color="auto"/>
            <w:bottom w:val="none" w:sz="0" w:space="0" w:color="auto"/>
            <w:right w:val="none" w:sz="0" w:space="0" w:color="auto"/>
          </w:divBdr>
        </w:div>
      </w:divsChild>
    </w:div>
    <w:div w:id="275917365">
      <w:bodyDiv w:val="1"/>
      <w:marLeft w:val="0"/>
      <w:marRight w:val="0"/>
      <w:marTop w:val="0"/>
      <w:marBottom w:val="0"/>
      <w:divBdr>
        <w:top w:val="none" w:sz="0" w:space="0" w:color="auto"/>
        <w:left w:val="none" w:sz="0" w:space="0" w:color="auto"/>
        <w:bottom w:val="none" w:sz="0" w:space="0" w:color="auto"/>
        <w:right w:val="none" w:sz="0" w:space="0" w:color="auto"/>
      </w:divBdr>
      <w:divsChild>
        <w:div w:id="2015839901">
          <w:marLeft w:val="0"/>
          <w:marRight w:val="0"/>
          <w:marTop w:val="0"/>
          <w:marBottom w:val="0"/>
          <w:divBdr>
            <w:top w:val="none" w:sz="0" w:space="0" w:color="auto"/>
            <w:left w:val="none" w:sz="0" w:space="0" w:color="auto"/>
            <w:bottom w:val="none" w:sz="0" w:space="0" w:color="auto"/>
            <w:right w:val="none" w:sz="0" w:space="0" w:color="auto"/>
          </w:divBdr>
        </w:div>
      </w:divsChild>
    </w:div>
    <w:div w:id="276445642">
      <w:bodyDiv w:val="1"/>
      <w:marLeft w:val="0"/>
      <w:marRight w:val="0"/>
      <w:marTop w:val="0"/>
      <w:marBottom w:val="0"/>
      <w:divBdr>
        <w:top w:val="none" w:sz="0" w:space="0" w:color="auto"/>
        <w:left w:val="none" w:sz="0" w:space="0" w:color="auto"/>
        <w:bottom w:val="none" w:sz="0" w:space="0" w:color="auto"/>
        <w:right w:val="none" w:sz="0" w:space="0" w:color="auto"/>
      </w:divBdr>
    </w:div>
    <w:div w:id="279537409">
      <w:bodyDiv w:val="1"/>
      <w:marLeft w:val="0"/>
      <w:marRight w:val="0"/>
      <w:marTop w:val="0"/>
      <w:marBottom w:val="0"/>
      <w:divBdr>
        <w:top w:val="none" w:sz="0" w:space="0" w:color="auto"/>
        <w:left w:val="none" w:sz="0" w:space="0" w:color="auto"/>
        <w:bottom w:val="none" w:sz="0" w:space="0" w:color="auto"/>
        <w:right w:val="none" w:sz="0" w:space="0" w:color="auto"/>
      </w:divBdr>
      <w:divsChild>
        <w:div w:id="969021162">
          <w:marLeft w:val="0"/>
          <w:marRight w:val="0"/>
          <w:marTop w:val="0"/>
          <w:marBottom w:val="0"/>
          <w:divBdr>
            <w:top w:val="none" w:sz="0" w:space="0" w:color="auto"/>
            <w:left w:val="none" w:sz="0" w:space="0" w:color="auto"/>
            <w:bottom w:val="none" w:sz="0" w:space="0" w:color="auto"/>
            <w:right w:val="none" w:sz="0" w:space="0" w:color="auto"/>
          </w:divBdr>
        </w:div>
      </w:divsChild>
    </w:div>
    <w:div w:id="288126056">
      <w:bodyDiv w:val="1"/>
      <w:marLeft w:val="0"/>
      <w:marRight w:val="0"/>
      <w:marTop w:val="0"/>
      <w:marBottom w:val="0"/>
      <w:divBdr>
        <w:top w:val="none" w:sz="0" w:space="0" w:color="auto"/>
        <w:left w:val="none" w:sz="0" w:space="0" w:color="auto"/>
        <w:bottom w:val="none" w:sz="0" w:space="0" w:color="auto"/>
        <w:right w:val="none" w:sz="0" w:space="0" w:color="auto"/>
      </w:divBdr>
    </w:div>
    <w:div w:id="288244323">
      <w:bodyDiv w:val="1"/>
      <w:marLeft w:val="0"/>
      <w:marRight w:val="0"/>
      <w:marTop w:val="0"/>
      <w:marBottom w:val="0"/>
      <w:divBdr>
        <w:top w:val="none" w:sz="0" w:space="0" w:color="auto"/>
        <w:left w:val="none" w:sz="0" w:space="0" w:color="auto"/>
        <w:bottom w:val="none" w:sz="0" w:space="0" w:color="auto"/>
        <w:right w:val="none" w:sz="0" w:space="0" w:color="auto"/>
      </w:divBdr>
      <w:divsChild>
        <w:div w:id="820543040">
          <w:marLeft w:val="0"/>
          <w:marRight w:val="0"/>
          <w:marTop w:val="0"/>
          <w:marBottom w:val="0"/>
          <w:divBdr>
            <w:top w:val="none" w:sz="0" w:space="0" w:color="auto"/>
            <w:left w:val="none" w:sz="0" w:space="0" w:color="auto"/>
            <w:bottom w:val="none" w:sz="0" w:space="0" w:color="auto"/>
            <w:right w:val="none" w:sz="0" w:space="0" w:color="auto"/>
          </w:divBdr>
        </w:div>
      </w:divsChild>
    </w:div>
    <w:div w:id="292247762">
      <w:bodyDiv w:val="1"/>
      <w:marLeft w:val="0"/>
      <w:marRight w:val="0"/>
      <w:marTop w:val="0"/>
      <w:marBottom w:val="0"/>
      <w:divBdr>
        <w:top w:val="none" w:sz="0" w:space="0" w:color="auto"/>
        <w:left w:val="none" w:sz="0" w:space="0" w:color="auto"/>
        <w:bottom w:val="none" w:sz="0" w:space="0" w:color="auto"/>
        <w:right w:val="none" w:sz="0" w:space="0" w:color="auto"/>
      </w:divBdr>
      <w:divsChild>
        <w:div w:id="1266690979">
          <w:marLeft w:val="0"/>
          <w:marRight w:val="0"/>
          <w:marTop w:val="0"/>
          <w:marBottom w:val="0"/>
          <w:divBdr>
            <w:top w:val="none" w:sz="0" w:space="0" w:color="auto"/>
            <w:left w:val="none" w:sz="0" w:space="0" w:color="auto"/>
            <w:bottom w:val="none" w:sz="0" w:space="0" w:color="auto"/>
            <w:right w:val="none" w:sz="0" w:space="0" w:color="auto"/>
          </w:divBdr>
        </w:div>
      </w:divsChild>
    </w:div>
    <w:div w:id="310334030">
      <w:bodyDiv w:val="1"/>
      <w:marLeft w:val="0"/>
      <w:marRight w:val="0"/>
      <w:marTop w:val="0"/>
      <w:marBottom w:val="0"/>
      <w:divBdr>
        <w:top w:val="none" w:sz="0" w:space="0" w:color="auto"/>
        <w:left w:val="none" w:sz="0" w:space="0" w:color="auto"/>
        <w:bottom w:val="none" w:sz="0" w:space="0" w:color="auto"/>
        <w:right w:val="none" w:sz="0" w:space="0" w:color="auto"/>
      </w:divBdr>
      <w:divsChild>
        <w:div w:id="1793403097">
          <w:marLeft w:val="0"/>
          <w:marRight w:val="0"/>
          <w:marTop w:val="0"/>
          <w:marBottom w:val="0"/>
          <w:divBdr>
            <w:top w:val="none" w:sz="0" w:space="0" w:color="auto"/>
            <w:left w:val="none" w:sz="0" w:space="0" w:color="auto"/>
            <w:bottom w:val="none" w:sz="0" w:space="0" w:color="auto"/>
            <w:right w:val="none" w:sz="0" w:space="0" w:color="auto"/>
          </w:divBdr>
        </w:div>
      </w:divsChild>
    </w:div>
    <w:div w:id="310982922">
      <w:bodyDiv w:val="1"/>
      <w:marLeft w:val="0"/>
      <w:marRight w:val="0"/>
      <w:marTop w:val="0"/>
      <w:marBottom w:val="0"/>
      <w:divBdr>
        <w:top w:val="none" w:sz="0" w:space="0" w:color="auto"/>
        <w:left w:val="none" w:sz="0" w:space="0" w:color="auto"/>
        <w:bottom w:val="none" w:sz="0" w:space="0" w:color="auto"/>
        <w:right w:val="none" w:sz="0" w:space="0" w:color="auto"/>
      </w:divBdr>
      <w:divsChild>
        <w:div w:id="776293732">
          <w:marLeft w:val="0"/>
          <w:marRight w:val="0"/>
          <w:marTop w:val="0"/>
          <w:marBottom w:val="0"/>
          <w:divBdr>
            <w:top w:val="none" w:sz="0" w:space="0" w:color="auto"/>
            <w:left w:val="none" w:sz="0" w:space="0" w:color="auto"/>
            <w:bottom w:val="none" w:sz="0" w:space="0" w:color="auto"/>
            <w:right w:val="none" w:sz="0" w:space="0" w:color="auto"/>
          </w:divBdr>
        </w:div>
      </w:divsChild>
    </w:div>
    <w:div w:id="311327676">
      <w:bodyDiv w:val="1"/>
      <w:marLeft w:val="0"/>
      <w:marRight w:val="0"/>
      <w:marTop w:val="0"/>
      <w:marBottom w:val="0"/>
      <w:divBdr>
        <w:top w:val="none" w:sz="0" w:space="0" w:color="auto"/>
        <w:left w:val="none" w:sz="0" w:space="0" w:color="auto"/>
        <w:bottom w:val="none" w:sz="0" w:space="0" w:color="auto"/>
        <w:right w:val="none" w:sz="0" w:space="0" w:color="auto"/>
      </w:divBdr>
      <w:divsChild>
        <w:div w:id="1584871382">
          <w:marLeft w:val="0"/>
          <w:marRight w:val="0"/>
          <w:marTop w:val="0"/>
          <w:marBottom w:val="0"/>
          <w:divBdr>
            <w:top w:val="none" w:sz="0" w:space="0" w:color="auto"/>
            <w:left w:val="none" w:sz="0" w:space="0" w:color="auto"/>
            <w:bottom w:val="none" w:sz="0" w:space="0" w:color="auto"/>
            <w:right w:val="none" w:sz="0" w:space="0" w:color="auto"/>
          </w:divBdr>
        </w:div>
      </w:divsChild>
    </w:div>
    <w:div w:id="317653819">
      <w:bodyDiv w:val="1"/>
      <w:marLeft w:val="0"/>
      <w:marRight w:val="0"/>
      <w:marTop w:val="0"/>
      <w:marBottom w:val="0"/>
      <w:divBdr>
        <w:top w:val="none" w:sz="0" w:space="0" w:color="auto"/>
        <w:left w:val="none" w:sz="0" w:space="0" w:color="auto"/>
        <w:bottom w:val="none" w:sz="0" w:space="0" w:color="auto"/>
        <w:right w:val="none" w:sz="0" w:space="0" w:color="auto"/>
      </w:divBdr>
      <w:divsChild>
        <w:div w:id="229847177">
          <w:marLeft w:val="0"/>
          <w:marRight w:val="0"/>
          <w:marTop w:val="0"/>
          <w:marBottom w:val="0"/>
          <w:divBdr>
            <w:top w:val="none" w:sz="0" w:space="0" w:color="auto"/>
            <w:left w:val="none" w:sz="0" w:space="0" w:color="auto"/>
            <w:bottom w:val="none" w:sz="0" w:space="0" w:color="auto"/>
            <w:right w:val="none" w:sz="0" w:space="0" w:color="auto"/>
          </w:divBdr>
        </w:div>
      </w:divsChild>
    </w:div>
    <w:div w:id="329404345">
      <w:bodyDiv w:val="1"/>
      <w:marLeft w:val="0"/>
      <w:marRight w:val="0"/>
      <w:marTop w:val="0"/>
      <w:marBottom w:val="0"/>
      <w:divBdr>
        <w:top w:val="none" w:sz="0" w:space="0" w:color="auto"/>
        <w:left w:val="none" w:sz="0" w:space="0" w:color="auto"/>
        <w:bottom w:val="none" w:sz="0" w:space="0" w:color="auto"/>
        <w:right w:val="none" w:sz="0" w:space="0" w:color="auto"/>
      </w:divBdr>
    </w:div>
    <w:div w:id="335958235">
      <w:bodyDiv w:val="1"/>
      <w:marLeft w:val="0"/>
      <w:marRight w:val="0"/>
      <w:marTop w:val="0"/>
      <w:marBottom w:val="0"/>
      <w:divBdr>
        <w:top w:val="none" w:sz="0" w:space="0" w:color="auto"/>
        <w:left w:val="none" w:sz="0" w:space="0" w:color="auto"/>
        <w:bottom w:val="none" w:sz="0" w:space="0" w:color="auto"/>
        <w:right w:val="none" w:sz="0" w:space="0" w:color="auto"/>
      </w:divBdr>
      <w:divsChild>
        <w:div w:id="85393575">
          <w:marLeft w:val="0"/>
          <w:marRight w:val="0"/>
          <w:marTop w:val="0"/>
          <w:marBottom w:val="0"/>
          <w:divBdr>
            <w:top w:val="none" w:sz="0" w:space="0" w:color="auto"/>
            <w:left w:val="none" w:sz="0" w:space="0" w:color="auto"/>
            <w:bottom w:val="none" w:sz="0" w:space="0" w:color="auto"/>
            <w:right w:val="none" w:sz="0" w:space="0" w:color="auto"/>
          </w:divBdr>
        </w:div>
      </w:divsChild>
    </w:div>
    <w:div w:id="338191856">
      <w:bodyDiv w:val="1"/>
      <w:marLeft w:val="0"/>
      <w:marRight w:val="0"/>
      <w:marTop w:val="0"/>
      <w:marBottom w:val="0"/>
      <w:divBdr>
        <w:top w:val="none" w:sz="0" w:space="0" w:color="auto"/>
        <w:left w:val="none" w:sz="0" w:space="0" w:color="auto"/>
        <w:bottom w:val="none" w:sz="0" w:space="0" w:color="auto"/>
        <w:right w:val="none" w:sz="0" w:space="0" w:color="auto"/>
      </w:divBdr>
      <w:divsChild>
        <w:div w:id="105855894">
          <w:marLeft w:val="0"/>
          <w:marRight w:val="0"/>
          <w:marTop w:val="0"/>
          <w:marBottom w:val="0"/>
          <w:divBdr>
            <w:top w:val="none" w:sz="0" w:space="0" w:color="auto"/>
            <w:left w:val="none" w:sz="0" w:space="0" w:color="auto"/>
            <w:bottom w:val="none" w:sz="0" w:space="0" w:color="auto"/>
            <w:right w:val="none" w:sz="0" w:space="0" w:color="auto"/>
          </w:divBdr>
        </w:div>
      </w:divsChild>
    </w:div>
    <w:div w:id="342629777">
      <w:bodyDiv w:val="1"/>
      <w:marLeft w:val="0"/>
      <w:marRight w:val="0"/>
      <w:marTop w:val="0"/>
      <w:marBottom w:val="0"/>
      <w:divBdr>
        <w:top w:val="none" w:sz="0" w:space="0" w:color="auto"/>
        <w:left w:val="none" w:sz="0" w:space="0" w:color="auto"/>
        <w:bottom w:val="none" w:sz="0" w:space="0" w:color="auto"/>
        <w:right w:val="none" w:sz="0" w:space="0" w:color="auto"/>
      </w:divBdr>
    </w:div>
    <w:div w:id="345988419">
      <w:bodyDiv w:val="1"/>
      <w:marLeft w:val="0"/>
      <w:marRight w:val="0"/>
      <w:marTop w:val="0"/>
      <w:marBottom w:val="0"/>
      <w:divBdr>
        <w:top w:val="none" w:sz="0" w:space="0" w:color="auto"/>
        <w:left w:val="none" w:sz="0" w:space="0" w:color="auto"/>
        <w:bottom w:val="none" w:sz="0" w:space="0" w:color="auto"/>
        <w:right w:val="none" w:sz="0" w:space="0" w:color="auto"/>
      </w:divBdr>
      <w:divsChild>
        <w:div w:id="159394896">
          <w:marLeft w:val="0"/>
          <w:marRight w:val="0"/>
          <w:marTop w:val="0"/>
          <w:marBottom w:val="0"/>
          <w:divBdr>
            <w:top w:val="none" w:sz="0" w:space="0" w:color="auto"/>
            <w:left w:val="none" w:sz="0" w:space="0" w:color="auto"/>
            <w:bottom w:val="none" w:sz="0" w:space="0" w:color="auto"/>
            <w:right w:val="none" w:sz="0" w:space="0" w:color="auto"/>
          </w:divBdr>
        </w:div>
      </w:divsChild>
    </w:div>
    <w:div w:id="347561387">
      <w:bodyDiv w:val="1"/>
      <w:marLeft w:val="0"/>
      <w:marRight w:val="0"/>
      <w:marTop w:val="0"/>
      <w:marBottom w:val="0"/>
      <w:divBdr>
        <w:top w:val="none" w:sz="0" w:space="0" w:color="auto"/>
        <w:left w:val="none" w:sz="0" w:space="0" w:color="auto"/>
        <w:bottom w:val="none" w:sz="0" w:space="0" w:color="auto"/>
        <w:right w:val="none" w:sz="0" w:space="0" w:color="auto"/>
      </w:divBdr>
      <w:divsChild>
        <w:div w:id="1468006724">
          <w:marLeft w:val="0"/>
          <w:marRight w:val="0"/>
          <w:marTop w:val="0"/>
          <w:marBottom w:val="0"/>
          <w:divBdr>
            <w:top w:val="none" w:sz="0" w:space="0" w:color="auto"/>
            <w:left w:val="none" w:sz="0" w:space="0" w:color="auto"/>
            <w:bottom w:val="none" w:sz="0" w:space="0" w:color="auto"/>
            <w:right w:val="none" w:sz="0" w:space="0" w:color="auto"/>
          </w:divBdr>
        </w:div>
      </w:divsChild>
    </w:div>
    <w:div w:id="350422838">
      <w:bodyDiv w:val="1"/>
      <w:marLeft w:val="0"/>
      <w:marRight w:val="0"/>
      <w:marTop w:val="0"/>
      <w:marBottom w:val="0"/>
      <w:divBdr>
        <w:top w:val="none" w:sz="0" w:space="0" w:color="auto"/>
        <w:left w:val="none" w:sz="0" w:space="0" w:color="auto"/>
        <w:bottom w:val="none" w:sz="0" w:space="0" w:color="auto"/>
        <w:right w:val="none" w:sz="0" w:space="0" w:color="auto"/>
      </w:divBdr>
      <w:divsChild>
        <w:div w:id="1870531919">
          <w:marLeft w:val="0"/>
          <w:marRight w:val="0"/>
          <w:marTop w:val="0"/>
          <w:marBottom w:val="0"/>
          <w:divBdr>
            <w:top w:val="none" w:sz="0" w:space="0" w:color="auto"/>
            <w:left w:val="none" w:sz="0" w:space="0" w:color="auto"/>
            <w:bottom w:val="none" w:sz="0" w:space="0" w:color="auto"/>
            <w:right w:val="none" w:sz="0" w:space="0" w:color="auto"/>
          </w:divBdr>
        </w:div>
      </w:divsChild>
    </w:div>
    <w:div w:id="358548780">
      <w:bodyDiv w:val="1"/>
      <w:marLeft w:val="0"/>
      <w:marRight w:val="0"/>
      <w:marTop w:val="0"/>
      <w:marBottom w:val="0"/>
      <w:divBdr>
        <w:top w:val="none" w:sz="0" w:space="0" w:color="auto"/>
        <w:left w:val="none" w:sz="0" w:space="0" w:color="auto"/>
        <w:bottom w:val="none" w:sz="0" w:space="0" w:color="auto"/>
        <w:right w:val="none" w:sz="0" w:space="0" w:color="auto"/>
      </w:divBdr>
      <w:divsChild>
        <w:div w:id="1842549612">
          <w:marLeft w:val="0"/>
          <w:marRight w:val="0"/>
          <w:marTop w:val="0"/>
          <w:marBottom w:val="0"/>
          <w:divBdr>
            <w:top w:val="none" w:sz="0" w:space="0" w:color="auto"/>
            <w:left w:val="none" w:sz="0" w:space="0" w:color="auto"/>
            <w:bottom w:val="none" w:sz="0" w:space="0" w:color="auto"/>
            <w:right w:val="none" w:sz="0" w:space="0" w:color="auto"/>
          </w:divBdr>
        </w:div>
      </w:divsChild>
    </w:div>
    <w:div w:id="360057801">
      <w:bodyDiv w:val="1"/>
      <w:marLeft w:val="0"/>
      <w:marRight w:val="0"/>
      <w:marTop w:val="0"/>
      <w:marBottom w:val="0"/>
      <w:divBdr>
        <w:top w:val="none" w:sz="0" w:space="0" w:color="auto"/>
        <w:left w:val="none" w:sz="0" w:space="0" w:color="auto"/>
        <w:bottom w:val="none" w:sz="0" w:space="0" w:color="auto"/>
        <w:right w:val="none" w:sz="0" w:space="0" w:color="auto"/>
      </w:divBdr>
      <w:divsChild>
        <w:div w:id="101267574">
          <w:marLeft w:val="0"/>
          <w:marRight w:val="0"/>
          <w:marTop w:val="0"/>
          <w:marBottom w:val="0"/>
          <w:divBdr>
            <w:top w:val="none" w:sz="0" w:space="0" w:color="auto"/>
            <w:left w:val="none" w:sz="0" w:space="0" w:color="auto"/>
            <w:bottom w:val="none" w:sz="0" w:space="0" w:color="auto"/>
            <w:right w:val="none" w:sz="0" w:space="0" w:color="auto"/>
          </w:divBdr>
        </w:div>
      </w:divsChild>
    </w:div>
    <w:div w:id="361908082">
      <w:bodyDiv w:val="1"/>
      <w:marLeft w:val="0"/>
      <w:marRight w:val="0"/>
      <w:marTop w:val="0"/>
      <w:marBottom w:val="0"/>
      <w:divBdr>
        <w:top w:val="none" w:sz="0" w:space="0" w:color="auto"/>
        <w:left w:val="none" w:sz="0" w:space="0" w:color="auto"/>
        <w:bottom w:val="none" w:sz="0" w:space="0" w:color="auto"/>
        <w:right w:val="none" w:sz="0" w:space="0" w:color="auto"/>
      </w:divBdr>
      <w:divsChild>
        <w:div w:id="66223153">
          <w:marLeft w:val="0"/>
          <w:marRight w:val="0"/>
          <w:marTop w:val="0"/>
          <w:marBottom w:val="0"/>
          <w:divBdr>
            <w:top w:val="none" w:sz="0" w:space="0" w:color="auto"/>
            <w:left w:val="none" w:sz="0" w:space="0" w:color="auto"/>
            <w:bottom w:val="none" w:sz="0" w:space="0" w:color="auto"/>
            <w:right w:val="none" w:sz="0" w:space="0" w:color="auto"/>
          </w:divBdr>
        </w:div>
      </w:divsChild>
    </w:div>
    <w:div w:id="367295028">
      <w:bodyDiv w:val="1"/>
      <w:marLeft w:val="0"/>
      <w:marRight w:val="0"/>
      <w:marTop w:val="0"/>
      <w:marBottom w:val="0"/>
      <w:divBdr>
        <w:top w:val="none" w:sz="0" w:space="0" w:color="auto"/>
        <w:left w:val="none" w:sz="0" w:space="0" w:color="auto"/>
        <w:bottom w:val="none" w:sz="0" w:space="0" w:color="auto"/>
        <w:right w:val="none" w:sz="0" w:space="0" w:color="auto"/>
      </w:divBdr>
      <w:divsChild>
        <w:div w:id="1104230444">
          <w:marLeft w:val="0"/>
          <w:marRight w:val="0"/>
          <w:marTop w:val="0"/>
          <w:marBottom w:val="0"/>
          <w:divBdr>
            <w:top w:val="none" w:sz="0" w:space="0" w:color="auto"/>
            <w:left w:val="none" w:sz="0" w:space="0" w:color="auto"/>
            <w:bottom w:val="none" w:sz="0" w:space="0" w:color="auto"/>
            <w:right w:val="none" w:sz="0" w:space="0" w:color="auto"/>
          </w:divBdr>
        </w:div>
      </w:divsChild>
    </w:div>
    <w:div w:id="371151330">
      <w:bodyDiv w:val="1"/>
      <w:marLeft w:val="0"/>
      <w:marRight w:val="0"/>
      <w:marTop w:val="0"/>
      <w:marBottom w:val="0"/>
      <w:divBdr>
        <w:top w:val="none" w:sz="0" w:space="0" w:color="auto"/>
        <w:left w:val="none" w:sz="0" w:space="0" w:color="auto"/>
        <w:bottom w:val="none" w:sz="0" w:space="0" w:color="auto"/>
        <w:right w:val="none" w:sz="0" w:space="0" w:color="auto"/>
      </w:divBdr>
    </w:div>
    <w:div w:id="377553478">
      <w:bodyDiv w:val="1"/>
      <w:marLeft w:val="0"/>
      <w:marRight w:val="0"/>
      <w:marTop w:val="0"/>
      <w:marBottom w:val="0"/>
      <w:divBdr>
        <w:top w:val="none" w:sz="0" w:space="0" w:color="auto"/>
        <w:left w:val="none" w:sz="0" w:space="0" w:color="auto"/>
        <w:bottom w:val="none" w:sz="0" w:space="0" w:color="auto"/>
        <w:right w:val="none" w:sz="0" w:space="0" w:color="auto"/>
      </w:divBdr>
      <w:divsChild>
        <w:div w:id="411204390">
          <w:marLeft w:val="0"/>
          <w:marRight w:val="0"/>
          <w:marTop w:val="0"/>
          <w:marBottom w:val="0"/>
          <w:divBdr>
            <w:top w:val="none" w:sz="0" w:space="0" w:color="auto"/>
            <w:left w:val="none" w:sz="0" w:space="0" w:color="auto"/>
            <w:bottom w:val="none" w:sz="0" w:space="0" w:color="auto"/>
            <w:right w:val="none" w:sz="0" w:space="0" w:color="auto"/>
          </w:divBdr>
        </w:div>
      </w:divsChild>
    </w:div>
    <w:div w:id="381177415">
      <w:bodyDiv w:val="1"/>
      <w:marLeft w:val="0"/>
      <w:marRight w:val="0"/>
      <w:marTop w:val="0"/>
      <w:marBottom w:val="0"/>
      <w:divBdr>
        <w:top w:val="none" w:sz="0" w:space="0" w:color="auto"/>
        <w:left w:val="none" w:sz="0" w:space="0" w:color="auto"/>
        <w:bottom w:val="none" w:sz="0" w:space="0" w:color="auto"/>
        <w:right w:val="none" w:sz="0" w:space="0" w:color="auto"/>
      </w:divBdr>
      <w:divsChild>
        <w:div w:id="1324431791">
          <w:marLeft w:val="0"/>
          <w:marRight w:val="0"/>
          <w:marTop w:val="0"/>
          <w:marBottom w:val="0"/>
          <w:divBdr>
            <w:top w:val="none" w:sz="0" w:space="0" w:color="auto"/>
            <w:left w:val="none" w:sz="0" w:space="0" w:color="auto"/>
            <w:bottom w:val="none" w:sz="0" w:space="0" w:color="auto"/>
            <w:right w:val="none" w:sz="0" w:space="0" w:color="auto"/>
          </w:divBdr>
        </w:div>
      </w:divsChild>
    </w:div>
    <w:div w:id="384258403">
      <w:bodyDiv w:val="1"/>
      <w:marLeft w:val="0"/>
      <w:marRight w:val="0"/>
      <w:marTop w:val="0"/>
      <w:marBottom w:val="0"/>
      <w:divBdr>
        <w:top w:val="none" w:sz="0" w:space="0" w:color="auto"/>
        <w:left w:val="none" w:sz="0" w:space="0" w:color="auto"/>
        <w:bottom w:val="none" w:sz="0" w:space="0" w:color="auto"/>
        <w:right w:val="none" w:sz="0" w:space="0" w:color="auto"/>
      </w:divBdr>
      <w:divsChild>
        <w:div w:id="1317614176">
          <w:marLeft w:val="0"/>
          <w:marRight w:val="0"/>
          <w:marTop w:val="0"/>
          <w:marBottom w:val="0"/>
          <w:divBdr>
            <w:top w:val="none" w:sz="0" w:space="0" w:color="auto"/>
            <w:left w:val="none" w:sz="0" w:space="0" w:color="auto"/>
            <w:bottom w:val="none" w:sz="0" w:space="0" w:color="auto"/>
            <w:right w:val="none" w:sz="0" w:space="0" w:color="auto"/>
          </w:divBdr>
        </w:div>
      </w:divsChild>
    </w:div>
    <w:div w:id="387337443">
      <w:bodyDiv w:val="1"/>
      <w:marLeft w:val="0"/>
      <w:marRight w:val="0"/>
      <w:marTop w:val="0"/>
      <w:marBottom w:val="0"/>
      <w:divBdr>
        <w:top w:val="none" w:sz="0" w:space="0" w:color="auto"/>
        <w:left w:val="none" w:sz="0" w:space="0" w:color="auto"/>
        <w:bottom w:val="none" w:sz="0" w:space="0" w:color="auto"/>
        <w:right w:val="none" w:sz="0" w:space="0" w:color="auto"/>
      </w:divBdr>
      <w:divsChild>
        <w:div w:id="199511546">
          <w:marLeft w:val="0"/>
          <w:marRight w:val="0"/>
          <w:marTop w:val="0"/>
          <w:marBottom w:val="0"/>
          <w:divBdr>
            <w:top w:val="none" w:sz="0" w:space="0" w:color="auto"/>
            <w:left w:val="none" w:sz="0" w:space="0" w:color="auto"/>
            <w:bottom w:val="none" w:sz="0" w:space="0" w:color="auto"/>
            <w:right w:val="none" w:sz="0" w:space="0" w:color="auto"/>
          </w:divBdr>
        </w:div>
      </w:divsChild>
    </w:div>
    <w:div w:id="391125587">
      <w:bodyDiv w:val="1"/>
      <w:marLeft w:val="0"/>
      <w:marRight w:val="0"/>
      <w:marTop w:val="0"/>
      <w:marBottom w:val="0"/>
      <w:divBdr>
        <w:top w:val="none" w:sz="0" w:space="0" w:color="auto"/>
        <w:left w:val="none" w:sz="0" w:space="0" w:color="auto"/>
        <w:bottom w:val="none" w:sz="0" w:space="0" w:color="auto"/>
        <w:right w:val="none" w:sz="0" w:space="0" w:color="auto"/>
      </w:divBdr>
    </w:div>
    <w:div w:id="391781242">
      <w:bodyDiv w:val="1"/>
      <w:marLeft w:val="0"/>
      <w:marRight w:val="0"/>
      <w:marTop w:val="0"/>
      <w:marBottom w:val="0"/>
      <w:divBdr>
        <w:top w:val="none" w:sz="0" w:space="0" w:color="auto"/>
        <w:left w:val="none" w:sz="0" w:space="0" w:color="auto"/>
        <w:bottom w:val="none" w:sz="0" w:space="0" w:color="auto"/>
        <w:right w:val="none" w:sz="0" w:space="0" w:color="auto"/>
      </w:divBdr>
      <w:divsChild>
        <w:div w:id="1512914222">
          <w:marLeft w:val="0"/>
          <w:marRight w:val="0"/>
          <w:marTop w:val="0"/>
          <w:marBottom w:val="0"/>
          <w:divBdr>
            <w:top w:val="none" w:sz="0" w:space="0" w:color="auto"/>
            <w:left w:val="none" w:sz="0" w:space="0" w:color="auto"/>
            <w:bottom w:val="none" w:sz="0" w:space="0" w:color="auto"/>
            <w:right w:val="none" w:sz="0" w:space="0" w:color="auto"/>
          </w:divBdr>
        </w:div>
      </w:divsChild>
    </w:div>
    <w:div w:id="391850782">
      <w:bodyDiv w:val="1"/>
      <w:marLeft w:val="0"/>
      <w:marRight w:val="0"/>
      <w:marTop w:val="0"/>
      <w:marBottom w:val="0"/>
      <w:divBdr>
        <w:top w:val="none" w:sz="0" w:space="0" w:color="auto"/>
        <w:left w:val="none" w:sz="0" w:space="0" w:color="auto"/>
        <w:bottom w:val="none" w:sz="0" w:space="0" w:color="auto"/>
        <w:right w:val="none" w:sz="0" w:space="0" w:color="auto"/>
      </w:divBdr>
    </w:div>
    <w:div w:id="400908719">
      <w:bodyDiv w:val="1"/>
      <w:marLeft w:val="0"/>
      <w:marRight w:val="0"/>
      <w:marTop w:val="0"/>
      <w:marBottom w:val="0"/>
      <w:divBdr>
        <w:top w:val="none" w:sz="0" w:space="0" w:color="auto"/>
        <w:left w:val="none" w:sz="0" w:space="0" w:color="auto"/>
        <w:bottom w:val="none" w:sz="0" w:space="0" w:color="auto"/>
        <w:right w:val="none" w:sz="0" w:space="0" w:color="auto"/>
      </w:divBdr>
      <w:divsChild>
        <w:div w:id="1600719897">
          <w:marLeft w:val="0"/>
          <w:marRight w:val="0"/>
          <w:marTop w:val="0"/>
          <w:marBottom w:val="0"/>
          <w:divBdr>
            <w:top w:val="none" w:sz="0" w:space="0" w:color="auto"/>
            <w:left w:val="none" w:sz="0" w:space="0" w:color="auto"/>
            <w:bottom w:val="none" w:sz="0" w:space="0" w:color="auto"/>
            <w:right w:val="none" w:sz="0" w:space="0" w:color="auto"/>
          </w:divBdr>
        </w:div>
      </w:divsChild>
    </w:div>
    <w:div w:id="402457373">
      <w:bodyDiv w:val="1"/>
      <w:marLeft w:val="0"/>
      <w:marRight w:val="0"/>
      <w:marTop w:val="0"/>
      <w:marBottom w:val="0"/>
      <w:divBdr>
        <w:top w:val="none" w:sz="0" w:space="0" w:color="auto"/>
        <w:left w:val="none" w:sz="0" w:space="0" w:color="auto"/>
        <w:bottom w:val="none" w:sz="0" w:space="0" w:color="auto"/>
        <w:right w:val="none" w:sz="0" w:space="0" w:color="auto"/>
      </w:divBdr>
      <w:divsChild>
        <w:div w:id="1762868552">
          <w:marLeft w:val="0"/>
          <w:marRight w:val="0"/>
          <w:marTop w:val="0"/>
          <w:marBottom w:val="0"/>
          <w:divBdr>
            <w:top w:val="none" w:sz="0" w:space="0" w:color="auto"/>
            <w:left w:val="none" w:sz="0" w:space="0" w:color="auto"/>
            <w:bottom w:val="none" w:sz="0" w:space="0" w:color="auto"/>
            <w:right w:val="none" w:sz="0" w:space="0" w:color="auto"/>
          </w:divBdr>
        </w:div>
      </w:divsChild>
    </w:div>
    <w:div w:id="416250513">
      <w:bodyDiv w:val="1"/>
      <w:marLeft w:val="0"/>
      <w:marRight w:val="0"/>
      <w:marTop w:val="0"/>
      <w:marBottom w:val="0"/>
      <w:divBdr>
        <w:top w:val="none" w:sz="0" w:space="0" w:color="auto"/>
        <w:left w:val="none" w:sz="0" w:space="0" w:color="auto"/>
        <w:bottom w:val="none" w:sz="0" w:space="0" w:color="auto"/>
        <w:right w:val="none" w:sz="0" w:space="0" w:color="auto"/>
      </w:divBdr>
      <w:divsChild>
        <w:div w:id="633368407">
          <w:marLeft w:val="0"/>
          <w:marRight w:val="0"/>
          <w:marTop w:val="0"/>
          <w:marBottom w:val="0"/>
          <w:divBdr>
            <w:top w:val="none" w:sz="0" w:space="0" w:color="auto"/>
            <w:left w:val="none" w:sz="0" w:space="0" w:color="auto"/>
            <w:bottom w:val="none" w:sz="0" w:space="0" w:color="auto"/>
            <w:right w:val="none" w:sz="0" w:space="0" w:color="auto"/>
          </w:divBdr>
        </w:div>
      </w:divsChild>
    </w:div>
    <w:div w:id="421296502">
      <w:bodyDiv w:val="1"/>
      <w:marLeft w:val="0"/>
      <w:marRight w:val="0"/>
      <w:marTop w:val="0"/>
      <w:marBottom w:val="0"/>
      <w:divBdr>
        <w:top w:val="none" w:sz="0" w:space="0" w:color="auto"/>
        <w:left w:val="none" w:sz="0" w:space="0" w:color="auto"/>
        <w:bottom w:val="none" w:sz="0" w:space="0" w:color="auto"/>
        <w:right w:val="none" w:sz="0" w:space="0" w:color="auto"/>
      </w:divBdr>
      <w:divsChild>
        <w:div w:id="418869947">
          <w:marLeft w:val="0"/>
          <w:marRight w:val="0"/>
          <w:marTop w:val="0"/>
          <w:marBottom w:val="0"/>
          <w:divBdr>
            <w:top w:val="none" w:sz="0" w:space="0" w:color="auto"/>
            <w:left w:val="none" w:sz="0" w:space="0" w:color="auto"/>
            <w:bottom w:val="none" w:sz="0" w:space="0" w:color="auto"/>
            <w:right w:val="none" w:sz="0" w:space="0" w:color="auto"/>
          </w:divBdr>
        </w:div>
      </w:divsChild>
    </w:div>
    <w:div w:id="422067180">
      <w:bodyDiv w:val="1"/>
      <w:marLeft w:val="0"/>
      <w:marRight w:val="0"/>
      <w:marTop w:val="0"/>
      <w:marBottom w:val="0"/>
      <w:divBdr>
        <w:top w:val="none" w:sz="0" w:space="0" w:color="auto"/>
        <w:left w:val="none" w:sz="0" w:space="0" w:color="auto"/>
        <w:bottom w:val="none" w:sz="0" w:space="0" w:color="auto"/>
        <w:right w:val="none" w:sz="0" w:space="0" w:color="auto"/>
      </w:divBdr>
      <w:divsChild>
        <w:div w:id="1384212117">
          <w:marLeft w:val="0"/>
          <w:marRight w:val="0"/>
          <w:marTop w:val="0"/>
          <w:marBottom w:val="0"/>
          <w:divBdr>
            <w:top w:val="none" w:sz="0" w:space="0" w:color="auto"/>
            <w:left w:val="none" w:sz="0" w:space="0" w:color="auto"/>
            <w:bottom w:val="none" w:sz="0" w:space="0" w:color="auto"/>
            <w:right w:val="none" w:sz="0" w:space="0" w:color="auto"/>
          </w:divBdr>
        </w:div>
      </w:divsChild>
    </w:div>
    <w:div w:id="422577975">
      <w:bodyDiv w:val="1"/>
      <w:marLeft w:val="0"/>
      <w:marRight w:val="0"/>
      <w:marTop w:val="0"/>
      <w:marBottom w:val="0"/>
      <w:divBdr>
        <w:top w:val="none" w:sz="0" w:space="0" w:color="auto"/>
        <w:left w:val="none" w:sz="0" w:space="0" w:color="auto"/>
        <w:bottom w:val="none" w:sz="0" w:space="0" w:color="auto"/>
        <w:right w:val="none" w:sz="0" w:space="0" w:color="auto"/>
      </w:divBdr>
      <w:divsChild>
        <w:div w:id="598179359">
          <w:marLeft w:val="0"/>
          <w:marRight w:val="0"/>
          <w:marTop w:val="0"/>
          <w:marBottom w:val="0"/>
          <w:divBdr>
            <w:top w:val="none" w:sz="0" w:space="0" w:color="auto"/>
            <w:left w:val="none" w:sz="0" w:space="0" w:color="auto"/>
            <w:bottom w:val="none" w:sz="0" w:space="0" w:color="auto"/>
            <w:right w:val="none" w:sz="0" w:space="0" w:color="auto"/>
          </w:divBdr>
        </w:div>
      </w:divsChild>
    </w:div>
    <w:div w:id="439838272">
      <w:bodyDiv w:val="1"/>
      <w:marLeft w:val="0"/>
      <w:marRight w:val="0"/>
      <w:marTop w:val="0"/>
      <w:marBottom w:val="0"/>
      <w:divBdr>
        <w:top w:val="none" w:sz="0" w:space="0" w:color="auto"/>
        <w:left w:val="none" w:sz="0" w:space="0" w:color="auto"/>
        <w:bottom w:val="none" w:sz="0" w:space="0" w:color="auto"/>
        <w:right w:val="none" w:sz="0" w:space="0" w:color="auto"/>
      </w:divBdr>
      <w:divsChild>
        <w:div w:id="1576356383">
          <w:marLeft w:val="0"/>
          <w:marRight w:val="0"/>
          <w:marTop w:val="0"/>
          <w:marBottom w:val="0"/>
          <w:divBdr>
            <w:top w:val="none" w:sz="0" w:space="0" w:color="auto"/>
            <w:left w:val="none" w:sz="0" w:space="0" w:color="auto"/>
            <w:bottom w:val="none" w:sz="0" w:space="0" w:color="auto"/>
            <w:right w:val="none" w:sz="0" w:space="0" w:color="auto"/>
          </w:divBdr>
        </w:div>
      </w:divsChild>
    </w:div>
    <w:div w:id="443617041">
      <w:bodyDiv w:val="1"/>
      <w:marLeft w:val="0"/>
      <w:marRight w:val="0"/>
      <w:marTop w:val="0"/>
      <w:marBottom w:val="0"/>
      <w:divBdr>
        <w:top w:val="none" w:sz="0" w:space="0" w:color="auto"/>
        <w:left w:val="none" w:sz="0" w:space="0" w:color="auto"/>
        <w:bottom w:val="none" w:sz="0" w:space="0" w:color="auto"/>
        <w:right w:val="none" w:sz="0" w:space="0" w:color="auto"/>
      </w:divBdr>
      <w:divsChild>
        <w:div w:id="1706638327">
          <w:marLeft w:val="0"/>
          <w:marRight w:val="0"/>
          <w:marTop w:val="0"/>
          <w:marBottom w:val="0"/>
          <w:divBdr>
            <w:top w:val="none" w:sz="0" w:space="0" w:color="auto"/>
            <w:left w:val="none" w:sz="0" w:space="0" w:color="auto"/>
            <w:bottom w:val="none" w:sz="0" w:space="0" w:color="auto"/>
            <w:right w:val="none" w:sz="0" w:space="0" w:color="auto"/>
          </w:divBdr>
        </w:div>
      </w:divsChild>
    </w:div>
    <w:div w:id="454981578">
      <w:bodyDiv w:val="1"/>
      <w:marLeft w:val="0"/>
      <w:marRight w:val="0"/>
      <w:marTop w:val="0"/>
      <w:marBottom w:val="0"/>
      <w:divBdr>
        <w:top w:val="none" w:sz="0" w:space="0" w:color="auto"/>
        <w:left w:val="none" w:sz="0" w:space="0" w:color="auto"/>
        <w:bottom w:val="none" w:sz="0" w:space="0" w:color="auto"/>
        <w:right w:val="none" w:sz="0" w:space="0" w:color="auto"/>
      </w:divBdr>
      <w:divsChild>
        <w:div w:id="873686971">
          <w:marLeft w:val="0"/>
          <w:marRight w:val="0"/>
          <w:marTop w:val="0"/>
          <w:marBottom w:val="0"/>
          <w:divBdr>
            <w:top w:val="none" w:sz="0" w:space="0" w:color="auto"/>
            <w:left w:val="none" w:sz="0" w:space="0" w:color="auto"/>
            <w:bottom w:val="none" w:sz="0" w:space="0" w:color="auto"/>
            <w:right w:val="none" w:sz="0" w:space="0" w:color="auto"/>
          </w:divBdr>
        </w:div>
      </w:divsChild>
    </w:div>
    <w:div w:id="461272973">
      <w:bodyDiv w:val="1"/>
      <w:marLeft w:val="0"/>
      <w:marRight w:val="0"/>
      <w:marTop w:val="0"/>
      <w:marBottom w:val="0"/>
      <w:divBdr>
        <w:top w:val="none" w:sz="0" w:space="0" w:color="auto"/>
        <w:left w:val="none" w:sz="0" w:space="0" w:color="auto"/>
        <w:bottom w:val="none" w:sz="0" w:space="0" w:color="auto"/>
        <w:right w:val="none" w:sz="0" w:space="0" w:color="auto"/>
      </w:divBdr>
      <w:divsChild>
        <w:div w:id="942495908">
          <w:marLeft w:val="0"/>
          <w:marRight w:val="0"/>
          <w:marTop w:val="0"/>
          <w:marBottom w:val="0"/>
          <w:divBdr>
            <w:top w:val="none" w:sz="0" w:space="0" w:color="auto"/>
            <w:left w:val="none" w:sz="0" w:space="0" w:color="auto"/>
            <w:bottom w:val="none" w:sz="0" w:space="0" w:color="auto"/>
            <w:right w:val="none" w:sz="0" w:space="0" w:color="auto"/>
          </w:divBdr>
        </w:div>
      </w:divsChild>
    </w:div>
    <w:div w:id="463888900">
      <w:bodyDiv w:val="1"/>
      <w:marLeft w:val="0"/>
      <w:marRight w:val="0"/>
      <w:marTop w:val="0"/>
      <w:marBottom w:val="0"/>
      <w:divBdr>
        <w:top w:val="none" w:sz="0" w:space="0" w:color="auto"/>
        <w:left w:val="none" w:sz="0" w:space="0" w:color="auto"/>
        <w:bottom w:val="none" w:sz="0" w:space="0" w:color="auto"/>
        <w:right w:val="none" w:sz="0" w:space="0" w:color="auto"/>
      </w:divBdr>
      <w:divsChild>
        <w:div w:id="1511331585">
          <w:marLeft w:val="0"/>
          <w:marRight w:val="0"/>
          <w:marTop w:val="0"/>
          <w:marBottom w:val="0"/>
          <w:divBdr>
            <w:top w:val="none" w:sz="0" w:space="0" w:color="auto"/>
            <w:left w:val="none" w:sz="0" w:space="0" w:color="auto"/>
            <w:bottom w:val="none" w:sz="0" w:space="0" w:color="auto"/>
            <w:right w:val="none" w:sz="0" w:space="0" w:color="auto"/>
          </w:divBdr>
        </w:div>
      </w:divsChild>
    </w:div>
    <w:div w:id="463960800">
      <w:bodyDiv w:val="1"/>
      <w:marLeft w:val="0"/>
      <w:marRight w:val="0"/>
      <w:marTop w:val="0"/>
      <w:marBottom w:val="0"/>
      <w:divBdr>
        <w:top w:val="none" w:sz="0" w:space="0" w:color="auto"/>
        <w:left w:val="none" w:sz="0" w:space="0" w:color="auto"/>
        <w:bottom w:val="none" w:sz="0" w:space="0" w:color="auto"/>
        <w:right w:val="none" w:sz="0" w:space="0" w:color="auto"/>
      </w:divBdr>
      <w:divsChild>
        <w:div w:id="520050368">
          <w:marLeft w:val="0"/>
          <w:marRight w:val="0"/>
          <w:marTop w:val="0"/>
          <w:marBottom w:val="0"/>
          <w:divBdr>
            <w:top w:val="none" w:sz="0" w:space="0" w:color="auto"/>
            <w:left w:val="none" w:sz="0" w:space="0" w:color="auto"/>
            <w:bottom w:val="none" w:sz="0" w:space="0" w:color="auto"/>
            <w:right w:val="none" w:sz="0" w:space="0" w:color="auto"/>
          </w:divBdr>
        </w:div>
      </w:divsChild>
    </w:div>
    <w:div w:id="477919740">
      <w:bodyDiv w:val="1"/>
      <w:marLeft w:val="0"/>
      <w:marRight w:val="0"/>
      <w:marTop w:val="0"/>
      <w:marBottom w:val="0"/>
      <w:divBdr>
        <w:top w:val="none" w:sz="0" w:space="0" w:color="auto"/>
        <w:left w:val="none" w:sz="0" w:space="0" w:color="auto"/>
        <w:bottom w:val="none" w:sz="0" w:space="0" w:color="auto"/>
        <w:right w:val="none" w:sz="0" w:space="0" w:color="auto"/>
      </w:divBdr>
    </w:div>
    <w:div w:id="482815221">
      <w:bodyDiv w:val="1"/>
      <w:marLeft w:val="0"/>
      <w:marRight w:val="0"/>
      <w:marTop w:val="0"/>
      <w:marBottom w:val="0"/>
      <w:divBdr>
        <w:top w:val="none" w:sz="0" w:space="0" w:color="auto"/>
        <w:left w:val="none" w:sz="0" w:space="0" w:color="auto"/>
        <w:bottom w:val="none" w:sz="0" w:space="0" w:color="auto"/>
        <w:right w:val="none" w:sz="0" w:space="0" w:color="auto"/>
      </w:divBdr>
      <w:divsChild>
        <w:div w:id="334652981">
          <w:marLeft w:val="0"/>
          <w:marRight w:val="0"/>
          <w:marTop w:val="0"/>
          <w:marBottom w:val="0"/>
          <w:divBdr>
            <w:top w:val="none" w:sz="0" w:space="0" w:color="auto"/>
            <w:left w:val="none" w:sz="0" w:space="0" w:color="auto"/>
            <w:bottom w:val="none" w:sz="0" w:space="0" w:color="auto"/>
            <w:right w:val="none" w:sz="0" w:space="0" w:color="auto"/>
          </w:divBdr>
        </w:div>
      </w:divsChild>
    </w:div>
    <w:div w:id="484782176">
      <w:bodyDiv w:val="1"/>
      <w:marLeft w:val="0"/>
      <w:marRight w:val="0"/>
      <w:marTop w:val="0"/>
      <w:marBottom w:val="0"/>
      <w:divBdr>
        <w:top w:val="none" w:sz="0" w:space="0" w:color="auto"/>
        <w:left w:val="none" w:sz="0" w:space="0" w:color="auto"/>
        <w:bottom w:val="none" w:sz="0" w:space="0" w:color="auto"/>
        <w:right w:val="none" w:sz="0" w:space="0" w:color="auto"/>
      </w:divBdr>
    </w:div>
    <w:div w:id="485587307">
      <w:bodyDiv w:val="1"/>
      <w:marLeft w:val="0"/>
      <w:marRight w:val="0"/>
      <w:marTop w:val="0"/>
      <w:marBottom w:val="0"/>
      <w:divBdr>
        <w:top w:val="none" w:sz="0" w:space="0" w:color="auto"/>
        <w:left w:val="none" w:sz="0" w:space="0" w:color="auto"/>
        <w:bottom w:val="none" w:sz="0" w:space="0" w:color="auto"/>
        <w:right w:val="none" w:sz="0" w:space="0" w:color="auto"/>
      </w:divBdr>
      <w:divsChild>
        <w:div w:id="861432817">
          <w:marLeft w:val="0"/>
          <w:marRight w:val="0"/>
          <w:marTop w:val="0"/>
          <w:marBottom w:val="0"/>
          <w:divBdr>
            <w:top w:val="none" w:sz="0" w:space="0" w:color="auto"/>
            <w:left w:val="none" w:sz="0" w:space="0" w:color="auto"/>
            <w:bottom w:val="none" w:sz="0" w:space="0" w:color="auto"/>
            <w:right w:val="none" w:sz="0" w:space="0" w:color="auto"/>
          </w:divBdr>
        </w:div>
      </w:divsChild>
    </w:div>
    <w:div w:id="503014518">
      <w:bodyDiv w:val="1"/>
      <w:marLeft w:val="0"/>
      <w:marRight w:val="0"/>
      <w:marTop w:val="0"/>
      <w:marBottom w:val="0"/>
      <w:divBdr>
        <w:top w:val="none" w:sz="0" w:space="0" w:color="auto"/>
        <w:left w:val="none" w:sz="0" w:space="0" w:color="auto"/>
        <w:bottom w:val="none" w:sz="0" w:space="0" w:color="auto"/>
        <w:right w:val="none" w:sz="0" w:space="0" w:color="auto"/>
      </w:divBdr>
      <w:divsChild>
        <w:div w:id="879319357">
          <w:marLeft w:val="0"/>
          <w:marRight w:val="0"/>
          <w:marTop w:val="0"/>
          <w:marBottom w:val="0"/>
          <w:divBdr>
            <w:top w:val="none" w:sz="0" w:space="0" w:color="auto"/>
            <w:left w:val="none" w:sz="0" w:space="0" w:color="auto"/>
            <w:bottom w:val="none" w:sz="0" w:space="0" w:color="auto"/>
            <w:right w:val="none" w:sz="0" w:space="0" w:color="auto"/>
          </w:divBdr>
        </w:div>
      </w:divsChild>
    </w:div>
    <w:div w:id="521214374">
      <w:bodyDiv w:val="1"/>
      <w:marLeft w:val="0"/>
      <w:marRight w:val="0"/>
      <w:marTop w:val="0"/>
      <w:marBottom w:val="0"/>
      <w:divBdr>
        <w:top w:val="none" w:sz="0" w:space="0" w:color="auto"/>
        <w:left w:val="none" w:sz="0" w:space="0" w:color="auto"/>
        <w:bottom w:val="none" w:sz="0" w:space="0" w:color="auto"/>
        <w:right w:val="none" w:sz="0" w:space="0" w:color="auto"/>
      </w:divBdr>
      <w:divsChild>
        <w:div w:id="1764648864">
          <w:marLeft w:val="0"/>
          <w:marRight w:val="0"/>
          <w:marTop w:val="0"/>
          <w:marBottom w:val="0"/>
          <w:divBdr>
            <w:top w:val="none" w:sz="0" w:space="0" w:color="auto"/>
            <w:left w:val="none" w:sz="0" w:space="0" w:color="auto"/>
            <w:bottom w:val="none" w:sz="0" w:space="0" w:color="auto"/>
            <w:right w:val="none" w:sz="0" w:space="0" w:color="auto"/>
          </w:divBdr>
        </w:div>
      </w:divsChild>
    </w:div>
    <w:div w:id="522328406">
      <w:bodyDiv w:val="1"/>
      <w:marLeft w:val="0"/>
      <w:marRight w:val="0"/>
      <w:marTop w:val="0"/>
      <w:marBottom w:val="0"/>
      <w:divBdr>
        <w:top w:val="none" w:sz="0" w:space="0" w:color="auto"/>
        <w:left w:val="none" w:sz="0" w:space="0" w:color="auto"/>
        <w:bottom w:val="none" w:sz="0" w:space="0" w:color="auto"/>
        <w:right w:val="none" w:sz="0" w:space="0" w:color="auto"/>
      </w:divBdr>
      <w:divsChild>
        <w:div w:id="896165762">
          <w:marLeft w:val="0"/>
          <w:marRight w:val="0"/>
          <w:marTop w:val="0"/>
          <w:marBottom w:val="0"/>
          <w:divBdr>
            <w:top w:val="none" w:sz="0" w:space="0" w:color="auto"/>
            <w:left w:val="none" w:sz="0" w:space="0" w:color="auto"/>
            <w:bottom w:val="none" w:sz="0" w:space="0" w:color="auto"/>
            <w:right w:val="none" w:sz="0" w:space="0" w:color="auto"/>
          </w:divBdr>
        </w:div>
      </w:divsChild>
    </w:div>
    <w:div w:id="530655545">
      <w:bodyDiv w:val="1"/>
      <w:marLeft w:val="0"/>
      <w:marRight w:val="0"/>
      <w:marTop w:val="0"/>
      <w:marBottom w:val="0"/>
      <w:divBdr>
        <w:top w:val="none" w:sz="0" w:space="0" w:color="auto"/>
        <w:left w:val="none" w:sz="0" w:space="0" w:color="auto"/>
        <w:bottom w:val="none" w:sz="0" w:space="0" w:color="auto"/>
        <w:right w:val="none" w:sz="0" w:space="0" w:color="auto"/>
      </w:divBdr>
      <w:divsChild>
        <w:div w:id="1931966286">
          <w:marLeft w:val="0"/>
          <w:marRight w:val="0"/>
          <w:marTop w:val="0"/>
          <w:marBottom w:val="0"/>
          <w:divBdr>
            <w:top w:val="none" w:sz="0" w:space="0" w:color="auto"/>
            <w:left w:val="none" w:sz="0" w:space="0" w:color="auto"/>
            <w:bottom w:val="none" w:sz="0" w:space="0" w:color="auto"/>
            <w:right w:val="none" w:sz="0" w:space="0" w:color="auto"/>
          </w:divBdr>
        </w:div>
      </w:divsChild>
    </w:div>
    <w:div w:id="559247059">
      <w:bodyDiv w:val="1"/>
      <w:marLeft w:val="0"/>
      <w:marRight w:val="0"/>
      <w:marTop w:val="0"/>
      <w:marBottom w:val="0"/>
      <w:divBdr>
        <w:top w:val="none" w:sz="0" w:space="0" w:color="auto"/>
        <w:left w:val="none" w:sz="0" w:space="0" w:color="auto"/>
        <w:bottom w:val="none" w:sz="0" w:space="0" w:color="auto"/>
        <w:right w:val="none" w:sz="0" w:space="0" w:color="auto"/>
      </w:divBdr>
      <w:divsChild>
        <w:div w:id="1941840546">
          <w:marLeft w:val="0"/>
          <w:marRight w:val="0"/>
          <w:marTop w:val="0"/>
          <w:marBottom w:val="0"/>
          <w:divBdr>
            <w:top w:val="none" w:sz="0" w:space="0" w:color="auto"/>
            <w:left w:val="none" w:sz="0" w:space="0" w:color="auto"/>
            <w:bottom w:val="none" w:sz="0" w:space="0" w:color="auto"/>
            <w:right w:val="none" w:sz="0" w:space="0" w:color="auto"/>
          </w:divBdr>
        </w:div>
      </w:divsChild>
    </w:div>
    <w:div w:id="565653811">
      <w:bodyDiv w:val="1"/>
      <w:marLeft w:val="0"/>
      <w:marRight w:val="0"/>
      <w:marTop w:val="0"/>
      <w:marBottom w:val="0"/>
      <w:divBdr>
        <w:top w:val="none" w:sz="0" w:space="0" w:color="auto"/>
        <w:left w:val="none" w:sz="0" w:space="0" w:color="auto"/>
        <w:bottom w:val="none" w:sz="0" w:space="0" w:color="auto"/>
        <w:right w:val="none" w:sz="0" w:space="0" w:color="auto"/>
      </w:divBdr>
      <w:divsChild>
        <w:div w:id="2130775956">
          <w:marLeft w:val="0"/>
          <w:marRight w:val="0"/>
          <w:marTop w:val="0"/>
          <w:marBottom w:val="0"/>
          <w:divBdr>
            <w:top w:val="none" w:sz="0" w:space="0" w:color="auto"/>
            <w:left w:val="none" w:sz="0" w:space="0" w:color="auto"/>
            <w:bottom w:val="none" w:sz="0" w:space="0" w:color="auto"/>
            <w:right w:val="none" w:sz="0" w:space="0" w:color="auto"/>
          </w:divBdr>
        </w:div>
      </w:divsChild>
    </w:div>
    <w:div w:id="577055484">
      <w:bodyDiv w:val="1"/>
      <w:marLeft w:val="0"/>
      <w:marRight w:val="0"/>
      <w:marTop w:val="0"/>
      <w:marBottom w:val="0"/>
      <w:divBdr>
        <w:top w:val="none" w:sz="0" w:space="0" w:color="auto"/>
        <w:left w:val="none" w:sz="0" w:space="0" w:color="auto"/>
        <w:bottom w:val="none" w:sz="0" w:space="0" w:color="auto"/>
        <w:right w:val="none" w:sz="0" w:space="0" w:color="auto"/>
      </w:divBdr>
    </w:div>
    <w:div w:id="580018872">
      <w:bodyDiv w:val="1"/>
      <w:marLeft w:val="0"/>
      <w:marRight w:val="0"/>
      <w:marTop w:val="0"/>
      <w:marBottom w:val="0"/>
      <w:divBdr>
        <w:top w:val="none" w:sz="0" w:space="0" w:color="auto"/>
        <w:left w:val="none" w:sz="0" w:space="0" w:color="auto"/>
        <w:bottom w:val="none" w:sz="0" w:space="0" w:color="auto"/>
        <w:right w:val="none" w:sz="0" w:space="0" w:color="auto"/>
      </w:divBdr>
    </w:div>
    <w:div w:id="581528333">
      <w:bodyDiv w:val="1"/>
      <w:marLeft w:val="0"/>
      <w:marRight w:val="0"/>
      <w:marTop w:val="0"/>
      <w:marBottom w:val="0"/>
      <w:divBdr>
        <w:top w:val="none" w:sz="0" w:space="0" w:color="auto"/>
        <w:left w:val="none" w:sz="0" w:space="0" w:color="auto"/>
        <w:bottom w:val="none" w:sz="0" w:space="0" w:color="auto"/>
        <w:right w:val="none" w:sz="0" w:space="0" w:color="auto"/>
      </w:divBdr>
      <w:divsChild>
        <w:div w:id="258369824">
          <w:marLeft w:val="0"/>
          <w:marRight w:val="0"/>
          <w:marTop w:val="0"/>
          <w:marBottom w:val="0"/>
          <w:divBdr>
            <w:top w:val="none" w:sz="0" w:space="0" w:color="auto"/>
            <w:left w:val="none" w:sz="0" w:space="0" w:color="auto"/>
            <w:bottom w:val="none" w:sz="0" w:space="0" w:color="auto"/>
            <w:right w:val="none" w:sz="0" w:space="0" w:color="auto"/>
          </w:divBdr>
        </w:div>
      </w:divsChild>
    </w:div>
    <w:div w:id="585266060">
      <w:bodyDiv w:val="1"/>
      <w:marLeft w:val="0"/>
      <w:marRight w:val="0"/>
      <w:marTop w:val="0"/>
      <w:marBottom w:val="0"/>
      <w:divBdr>
        <w:top w:val="none" w:sz="0" w:space="0" w:color="auto"/>
        <w:left w:val="none" w:sz="0" w:space="0" w:color="auto"/>
        <w:bottom w:val="none" w:sz="0" w:space="0" w:color="auto"/>
        <w:right w:val="none" w:sz="0" w:space="0" w:color="auto"/>
      </w:divBdr>
    </w:div>
    <w:div w:id="586882910">
      <w:bodyDiv w:val="1"/>
      <w:marLeft w:val="0"/>
      <w:marRight w:val="0"/>
      <w:marTop w:val="0"/>
      <w:marBottom w:val="0"/>
      <w:divBdr>
        <w:top w:val="none" w:sz="0" w:space="0" w:color="auto"/>
        <w:left w:val="none" w:sz="0" w:space="0" w:color="auto"/>
        <w:bottom w:val="none" w:sz="0" w:space="0" w:color="auto"/>
        <w:right w:val="none" w:sz="0" w:space="0" w:color="auto"/>
      </w:divBdr>
      <w:divsChild>
        <w:div w:id="1728408271">
          <w:marLeft w:val="0"/>
          <w:marRight w:val="0"/>
          <w:marTop w:val="0"/>
          <w:marBottom w:val="0"/>
          <w:divBdr>
            <w:top w:val="none" w:sz="0" w:space="0" w:color="auto"/>
            <w:left w:val="none" w:sz="0" w:space="0" w:color="auto"/>
            <w:bottom w:val="none" w:sz="0" w:space="0" w:color="auto"/>
            <w:right w:val="none" w:sz="0" w:space="0" w:color="auto"/>
          </w:divBdr>
        </w:div>
      </w:divsChild>
    </w:div>
    <w:div w:id="603877277">
      <w:bodyDiv w:val="1"/>
      <w:marLeft w:val="0"/>
      <w:marRight w:val="0"/>
      <w:marTop w:val="0"/>
      <w:marBottom w:val="0"/>
      <w:divBdr>
        <w:top w:val="none" w:sz="0" w:space="0" w:color="auto"/>
        <w:left w:val="none" w:sz="0" w:space="0" w:color="auto"/>
        <w:bottom w:val="none" w:sz="0" w:space="0" w:color="auto"/>
        <w:right w:val="none" w:sz="0" w:space="0" w:color="auto"/>
      </w:divBdr>
      <w:divsChild>
        <w:div w:id="127430675">
          <w:marLeft w:val="0"/>
          <w:marRight w:val="0"/>
          <w:marTop w:val="0"/>
          <w:marBottom w:val="0"/>
          <w:divBdr>
            <w:top w:val="none" w:sz="0" w:space="0" w:color="auto"/>
            <w:left w:val="none" w:sz="0" w:space="0" w:color="auto"/>
            <w:bottom w:val="none" w:sz="0" w:space="0" w:color="auto"/>
            <w:right w:val="none" w:sz="0" w:space="0" w:color="auto"/>
          </w:divBdr>
        </w:div>
      </w:divsChild>
    </w:div>
    <w:div w:id="615674796">
      <w:bodyDiv w:val="1"/>
      <w:marLeft w:val="0"/>
      <w:marRight w:val="0"/>
      <w:marTop w:val="0"/>
      <w:marBottom w:val="0"/>
      <w:divBdr>
        <w:top w:val="none" w:sz="0" w:space="0" w:color="auto"/>
        <w:left w:val="none" w:sz="0" w:space="0" w:color="auto"/>
        <w:bottom w:val="none" w:sz="0" w:space="0" w:color="auto"/>
        <w:right w:val="none" w:sz="0" w:space="0" w:color="auto"/>
      </w:divBdr>
      <w:divsChild>
        <w:div w:id="1531920333">
          <w:marLeft w:val="0"/>
          <w:marRight w:val="0"/>
          <w:marTop w:val="0"/>
          <w:marBottom w:val="0"/>
          <w:divBdr>
            <w:top w:val="none" w:sz="0" w:space="0" w:color="auto"/>
            <w:left w:val="none" w:sz="0" w:space="0" w:color="auto"/>
            <w:bottom w:val="none" w:sz="0" w:space="0" w:color="auto"/>
            <w:right w:val="none" w:sz="0" w:space="0" w:color="auto"/>
          </w:divBdr>
        </w:div>
      </w:divsChild>
    </w:div>
    <w:div w:id="615795577">
      <w:bodyDiv w:val="1"/>
      <w:marLeft w:val="0"/>
      <w:marRight w:val="0"/>
      <w:marTop w:val="0"/>
      <w:marBottom w:val="0"/>
      <w:divBdr>
        <w:top w:val="none" w:sz="0" w:space="0" w:color="auto"/>
        <w:left w:val="none" w:sz="0" w:space="0" w:color="auto"/>
        <w:bottom w:val="none" w:sz="0" w:space="0" w:color="auto"/>
        <w:right w:val="none" w:sz="0" w:space="0" w:color="auto"/>
      </w:divBdr>
      <w:divsChild>
        <w:div w:id="566646758">
          <w:marLeft w:val="0"/>
          <w:marRight w:val="0"/>
          <w:marTop w:val="0"/>
          <w:marBottom w:val="0"/>
          <w:divBdr>
            <w:top w:val="none" w:sz="0" w:space="0" w:color="auto"/>
            <w:left w:val="none" w:sz="0" w:space="0" w:color="auto"/>
            <w:bottom w:val="none" w:sz="0" w:space="0" w:color="auto"/>
            <w:right w:val="none" w:sz="0" w:space="0" w:color="auto"/>
          </w:divBdr>
        </w:div>
      </w:divsChild>
    </w:div>
    <w:div w:id="615873553">
      <w:bodyDiv w:val="1"/>
      <w:marLeft w:val="0"/>
      <w:marRight w:val="0"/>
      <w:marTop w:val="0"/>
      <w:marBottom w:val="0"/>
      <w:divBdr>
        <w:top w:val="none" w:sz="0" w:space="0" w:color="auto"/>
        <w:left w:val="none" w:sz="0" w:space="0" w:color="auto"/>
        <w:bottom w:val="none" w:sz="0" w:space="0" w:color="auto"/>
        <w:right w:val="none" w:sz="0" w:space="0" w:color="auto"/>
      </w:divBdr>
      <w:divsChild>
        <w:div w:id="793212854">
          <w:marLeft w:val="0"/>
          <w:marRight w:val="0"/>
          <w:marTop w:val="0"/>
          <w:marBottom w:val="0"/>
          <w:divBdr>
            <w:top w:val="none" w:sz="0" w:space="0" w:color="auto"/>
            <w:left w:val="none" w:sz="0" w:space="0" w:color="auto"/>
            <w:bottom w:val="none" w:sz="0" w:space="0" w:color="auto"/>
            <w:right w:val="none" w:sz="0" w:space="0" w:color="auto"/>
          </w:divBdr>
        </w:div>
      </w:divsChild>
    </w:div>
    <w:div w:id="632176838">
      <w:bodyDiv w:val="1"/>
      <w:marLeft w:val="0"/>
      <w:marRight w:val="0"/>
      <w:marTop w:val="0"/>
      <w:marBottom w:val="0"/>
      <w:divBdr>
        <w:top w:val="none" w:sz="0" w:space="0" w:color="auto"/>
        <w:left w:val="none" w:sz="0" w:space="0" w:color="auto"/>
        <w:bottom w:val="none" w:sz="0" w:space="0" w:color="auto"/>
        <w:right w:val="none" w:sz="0" w:space="0" w:color="auto"/>
      </w:divBdr>
      <w:divsChild>
        <w:div w:id="1853180367">
          <w:marLeft w:val="0"/>
          <w:marRight w:val="0"/>
          <w:marTop w:val="0"/>
          <w:marBottom w:val="0"/>
          <w:divBdr>
            <w:top w:val="none" w:sz="0" w:space="0" w:color="auto"/>
            <w:left w:val="none" w:sz="0" w:space="0" w:color="auto"/>
            <w:bottom w:val="none" w:sz="0" w:space="0" w:color="auto"/>
            <w:right w:val="none" w:sz="0" w:space="0" w:color="auto"/>
          </w:divBdr>
        </w:div>
      </w:divsChild>
    </w:div>
    <w:div w:id="632367841">
      <w:bodyDiv w:val="1"/>
      <w:marLeft w:val="0"/>
      <w:marRight w:val="0"/>
      <w:marTop w:val="0"/>
      <w:marBottom w:val="0"/>
      <w:divBdr>
        <w:top w:val="none" w:sz="0" w:space="0" w:color="auto"/>
        <w:left w:val="none" w:sz="0" w:space="0" w:color="auto"/>
        <w:bottom w:val="none" w:sz="0" w:space="0" w:color="auto"/>
        <w:right w:val="none" w:sz="0" w:space="0" w:color="auto"/>
      </w:divBdr>
    </w:div>
    <w:div w:id="633023140">
      <w:bodyDiv w:val="1"/>
      <w:marLeft w:val="0"/>
      <w:marRight w:val="0"/>
      <w:marTop w:val="0"/>
      <w:marBottom w:val="0"/>
      <w:divBdr>
        <w:top w:val="none" w:sz="0" w:space="0" w:color="auto"/>
        <w:left w:val="none" w:sz="0" w:space="0" w:color="auto"/>
        <w:bottom w:val="none" w:sz="0" w:space="0" w:color="auto"/>
        <w:right w:val="none" w:sz="0" w:space="0" w:color="auto"/>
      </w:divBdr>
      <w:divsChild>
        <w:div w:id="1824082590">
          <w:marLeft w:val="0"/>
          <w:marRight w:val="0"/>
          <w:marTop w:val="0"/>
          <w:marBottom w:val="0"/>
          <w:divBdr>
            <w:top w:val="none" w:sz="0" w:space="0" w:color="auto"/>
            <w:left w:val="none" w:sz="0" w:space="0" w:color="auto"/>
            <w:bottom w:val="none" w:sz="0" w:space="0" w:color="auto"/>
            <w:right w:val="none" w:sz="0" w:space="0" w:color="auto"/>
          </w:divBdr>
        </w:div>
      </w:divsChild>
    </w:div>
    <w:div w:id="655576584">
      <w:bodyDiv w:val="1"/>
      <w:marLeft w:val="0"/>
      <w:marRight w:val="0"/>
      <w:marTop w:val="0"/>
      <w:marBottom w:val="0"/>
      <w:divBdr>
        <w:top w:val="none" w:sz="0" w:space="0" w:color="auto"/>
        <w:left w:val="none" w:sz="0" w:space="0" w:color="auto"/>
        <w:bottom w:val="none" w:sz="0" w:space="0" w:color="auto"/>
        <w:right w:val="none" w:sz="0" w:space="0" w:color="auto"/>
      </w:divBdr>
      <w:divsChild>
        <w:div w:id="285816660">
          <w:marLeft w:val="0"/>
          <w:marRight w:val="0"/>
          <w:marTop w:val="0"/>
          <w:marBottom w:val="0"/>
          <w:divBdr>
            <w:top w:val="none" w:sz="0" w:space="0" w:color="auto"/>
            <w:left w:val="none" w:sz="0" w:space="0" w:color="auto"/>
            <w:bottom w:val="none" w:sz="0" w:space="0" w:color="auto"/>
            <w:right w:val="none" w:sz="0" w:space="0" w:color="auto"/>
          </w:divBdr>
        </w:div>
      </w:divsChild>
    </w:div>
    <w:div w:id="656423469">
      <w:bodyDiv w:val="1"/>
      <w:marLeft w:val="0"/>
      <w:marRight w:val="0"/>
      <w:marTop w:val="0"/>
      <w:marBottom w:val="0"/>
      <w:divBdr>
        <w:top w:val="none" w:sz="0" w:space="0" w:color="auto"/>
        <w:left w:val="none" w:sz="0" w:space="0" w:color="auto"/>
        <w:bottom w:val="none" w:sz="0" w:space="0" w:color="auto"/>
        <w:right w:val="none" w:sz="0" w:space="0" w:color="auto"/>
      </w:divBdr>
    </w:div>
    <w:div w:id="671839186">
      <w:bodyDiv w:val="1"/>
      <w:marLeft w:val="0"/>
      <w:marRight w:val="0"/>
      <w:marTop w:val="0"/>
      <w:marBottom w:val="0"/>
      <w:divBdr>
        <w:top w:val="none" w:sz="0" w:space="0" w:color="auto"/>
        <w:left w:val="none" w:sz="0" w:space="0" w:color="auto"/>
        <w:bottom w:val="none" w:sz="0" w:space="0" w:color="auto"/>
        <w:right w:val="none" w:sz="0" w:space="0" w:color="auto"/>
      </w:divBdr>
      <w:divsChild>
        <w:div w:id="2040667613">
          <w:marLeft w:val="0"/>
          <w:marRight w:val="0"/>
          <w:marTop w:val="0"/>
          <w:marBottom w:val="0"/>
          <w:divBdr>
            <w:top w:val="none" w:sz="0" w:space="0" w:color="auto"/>
            <w:left w:val="none" w:sz="0" w:space="0" w:color="auto"/>
            <w:bottom w:val="none" w:sz="0" w:space="0" w:color="auto"/>
            <w:right w:val="none" w:sz="0" w:space="0" w:color="auto"/>
          </w:divBdr>
        </w:div>
      </w:divsChild>
    </w:div>
    <w:div w:id="676348199">
      <w:bodyDiv w:val="1"/>
      <w:marLeft w:val="0"/>
      <w:marRight w:val="0"/>
      <w:marTop w:val="0"/>
      <w:marBottom w:val="0"/>
      <w:divBdr>
        <w:top w:val="none" w:sz="0" w:space="0" w:color="auto"/>
        <w:left w:val="none" w:sz="0" w:space="0" w:color="auto"/>
        <w:bottom w:val="none" w:sz="0" w:space="0" w:color="auto"/>
        <w:right w:val="none" w:sz="0" w:space="0" w:color="auto"/>
      </w:divBdr>
      <w:divsChild>
        <w:div w:id="1983347578">
          <w:marLeft w:val="0"/>
          <w:marRight w:val="0"/>
          <w:marTop w:val="0"/>
          <w:marBottom w:val="0"/>
          <w:divBdr>
            <w:top w:val="none" w:sz="0" w:space="0" w:color="auto"/>
            <w:left w:val="none" w:sz="0" w:space="0" w:color="auto"/>
            <w:bottom w:val="none" w:sz="0" w:space="0" w:color="auto"/>
            <w:right w:val="none" w:sz="0" w:space="0" w:color="auto"/>
          </w:divBdr>
        </w:div>
      </w:divsChild>
    </w:div>
    <w:div w:id="683868630">
      <w:bodyDiv w:val="1"/>
      <w:marLeft w:val="0"/>
      <w:marRight w:val="0"/>
      <w:marTop w:val="0"/>
      <w:marBottom w:val="0"/>
      <w:divBdr>
        <w:top w:val="none" w:sz="0" w:space="0" w:color="auto"/>
        <w:left w:val="none" w:sz="0" w:space="0" w:color="auto"/>
        <w:bottom w:val="none" w:sz="0" w:space="0" w:color="auto"/>
        <w:right w:val="none" w:sz="0" w:space="0" w:color="auto"/>
      </w:divBdr>
    </w:div>
    <w:div w:id="684789570">
      <w:bodyDiv w:val="1"/>
      <w:marLeft w:val="0"/>
      <w:marRight w:val="0"/>
      <w:marTop w:val="0"/>
      <w:marBottom w:val="0"/>
      <w:divBdr>
        <w:top w:val="none" w:sz="0" w:space="0" w:color="auto"/>
        <w:left w:val="none" w:sz="0" w:space="0" w:color="auto"/>
        <w:bottom w:val="none" w:sz="0" w:space="0" w:color="auto"/>
        <w:right w:val="none" w:sz="0" w:space="0" w:color="auto"/>
      </w:divBdr>
      <w:divsChild>
        <w:div w:id="823815577">
          <w:marLeft w:val="0"/>
          <w:marRight w:val="0"/>
          <w:marTop w:val="0"/>
          <w:marBottom w:val="0"/>
          <w:divBdr>
            <w:top w:val="none" w:sz="0" w:space="0" w:color="auto"/>
            <w:left w:val="none" w:sz="0" w:space="0" w:color="auto"/>
            <w:bottom w:val="none" w:sz="0" w:space="0" w:color="auto"/>
            <w:right w:val="none" w:sz="0" w:space="0" w:color="auto"/>
          </w:divBdr>
        </w:div>
      </w:divsChild>
    </w:div>
    <w:div w:id="689138463">
      <w:bodyDiv w:val="1"/>
      <w:marLeft w:val="0"/>
      <w:marRight w:val="0"/>
      <w:marTop w:val="0"/>
      <w:marBottom w:val="0"/>
      <w:divBdr>
        <w:top w:val="none" w:sz="0" w:space="0" w:color="auto"/>
        <w:left w:val="none" w:sz="0" w:space="0" w:color="auto"/>
        <w:bottom w:val="none" w:sz="0" w:space="0" w:color="auto"/>
        <w:right w:val="none" w:sz="0" w:space="0" w:color="auto"/>
      </w:divBdr>
    </w:div>
    <w:div w:id="689647861">
      <w:bodyDiv w:val="1"/>
      <w:marLeft w:val="0"/>
      <w:marRight w:val="0"/>
      <w:marTop w:val="0"/>
      <w:marBottom w:val="0"/>
      <w:divBdr>
        <w:top w:val="none" w:sz="0" w:space="0" w:color="auto"/>
        <w:left w:val="none" w:sz="0" w:space="0" w:color="auto"/>
        <w:bottom w:val="none" w:sz="0" w:space="0" w:color="auto"/>
        <w:right w:val="none" w:sz="0" w:space="0" w:color="auto"/>
      </w:divBdr>
      <w:divsChild>
        <w:div w:id="79304066">
          <w:marLeft w:val="0"/>
          <w:marRight w:val="0"/>
          <w:marTop w:val="0"/>
          <w:marBottom w:val="0"/>
          <w:divBdr>
            <w:top w:val="none" w:sz="0" w:space="0" w:color="auto"/>
            <w:left w:val="none" w:sz="0" w:space="0" w:color="auto"/>
            <w:bottom w:val="none" w:sz="0" w:space="0" w:color="auto"/>
            <w:right w:val="none" w:sz="0" w:space="0" w:color="auto"/>
          </w:divBdr>
        </w:div>
      </w:divsChild>
    </w:div>
    <w:div w:id="698556267">
      <w:bodyDiv w:val="1"/>
      <w:marLeft w:val="0"/>
      <w:marRight w:val="0"/>
      <w:marTop w:val="0"/>
      <w:marBottom w:val="0"/>
      <w:divBdr>
        <w:top w:val="none" w:sz="0" w:space="0" w:color="auto"/>
        <w:left w:val="none" w:sz="0" w:space="0" w:color="auto"/>
        <w:bottom w:val="none" w:sz="0" w:space="0" w:color="auto"/>
        <w:right w:val="none" w:sz="0" w:space="0" w:color="auto"/>
      </w:divBdr>
    </w:div>
    <w:div w:id="702365256">
      <w:bodyDiv w:val="1"/>
      <w:marLeft w:val="0"/>
      <w:marRight w:val="0"/>
      <w:marTop w:val="0"/>
      <w:marBottom w:val="0"/>
      <w:divBdr>
        <w:top w:val="none" w:sz="0" w:space="0" w:color="auto"/>
        <w:left w:val="none" w:sz="0" w:space="0" w:color="auto"/>
        <w:bottom w:val="none" w:sz="0" w:space="0" w:color="auto"/>
        <w:right w:val="none" w:sz="0" w:space="0" w:color="auto"/>
      </w:divBdr>
      <w:divsChild>
        <w:div w:id="1649823260">
          <w:marLeft w:val="0"/>
          <w:marRight w:val="0"/>
          <w:marTop w:val="0"/>
          <w:marBottom w:val="0"/>
          <w:divBdr>
            <w:top w:val="none" w:sz="0" w:space="0" w:color="auto"/>
            <w:left w:val="none" w:sz="0" w:space="0" w:color="auto"/>
            <w:bottom w:val="none" w:sz="0" w:space="0" w:color="auto"/>
            <w:right w:val="none" w:sz="0" w:space="0" w:color="auto"/>
          </w:divBdr>
        </w:div>
      </w:divsChild>
    </w:div>
    <w:div w:id="712731426">
      <w:bodyDiv w:val="1"/>
      <w:marLeft w:val="0"/>
      <w:marRight w:val="0"/>
      <w:marTop w:val="0"/>
      <w:marBottom w:val="0"/>
      <w:divBdr>
        <w:top w:val="none" w:sz="0" w:space="0" w:color="auto"/>
        <w:left w:val="none" w:sz="0" w:space="0" w:color="auto"/>
        <w:bottom w:val="none" w:sz="0" w:space="0" w:color="auto"/>
        <w:right w:val="none" w:sz="0" w:space="0" w:color="auto"/>
      </w:divBdr>
      <w:divsChild>
        <w:div w:id="1125076755">
          <w:marLeft w:val="0"/>
          <w:marRight w:val="0"/>
          <w:marTop w:val="0"/>
          <w:marBottom w:val="0"/>
          <w:divBdr>
            <w:top w:val="none" w:sz="0" w:space="0" w:color="auto"/>
            <w:left w:val="none" w:sz="0" w:space="0" w:color="auto"/>
            <w:bottom w:val="none" w:sz="0" w:space="0" w:color="auto"/>
            <w:right w:val="none" w:sz="0" w:space="0" w:color="auto"/>
          </w:divBdr>
        </w:div>
      </w:divsChild>
    </w:div>
    <w:div w:id="721254448">
      <w:bodyDiv w:val="1"/>
      <w:marLeft w:val="0"/>
      <w:marRight w:val="0"/>
      <w:marTop w:val="0"/>
      <w:marBottom w:val="0"/>
      <w:divBdr>
        <w:top w:val="none" w:sz="0" w:space="0" w:color="auto"/>
        <w:left w:val="none" w:sz="0" w:space="0" w:color="auto"/>
        <w:bottom w:val="none" w:sz="0" w:space="0" w:color="auto"/>
        <w:right w:val="none" w:sz="0" w:space="0" w:color="auto"/>
      </w:divBdr>
      <w:divsChild>
        <w:div w:id="322321693">
          <w:marLeft w:val="0"/>
          <w:marRight w:val="0"/>
          <w:marTop w:val="0"/>
          <w:marBottom w:val="0"/>
          <w:divBdr>
            <w:top w:val="none" w:sz="0" w:space="0" w:color="auto"/>
            <w:left w:val="none" w:sz="0" w:space="0" w:color="auto"/>
            <w:bottom w:val="none" w:sz="0" w:space="0" w:color="auto"/>
            <w:right w:val="none" w:sz="0" w:space="0" w:color="auto"/>
          </w:divBdr>
        </w:div>
      </w:divsChild>
    </w:div>
    <w:div w:id="728267427">
      <w:bodyDiv w:val="1"/>
      <w:marLeft w:val="0"/>
      <w:marRight w:val="0"/>
      <w:marTop w:val="0"/>
      <w:marBottom w:val="0"/>
      <w:divBdr>
        <w:top w:val="none" w:sz="0" w:space="0" w:color="auto"/>
        <w:left w:val="none" w:sz="0" w:space="0" w:color="auto"/>
        <w:bottom w:val="none" w:sz="0" w:space="0" w:color="auto"/>
        <w:right w:val="none" w:sz="0" w:space="0" w:color="auto"/>
      </w:divBdr>
      <w:divsChild>
        <w:div w:id="97215639">
          <w:marLeft w:val="0"/>
          <w:marRight w:val="0"/>
          <w:marTop w:val="0"/>
          <w:marBottom w:val="0"/>
          <w:divBdr>
            <w:top w:val="none" w:sz="0" w:space="0" w:color="auto"/>
            <w:left w:val="none" w:sz="0" w:space="0" w:color="auto"/>
            <w:bottom w:val="none" w:sz="0" w:space="0" w:color="auto"/>
            <w:right w:val="none" w:sz="0" w:space="0" w:color="auto"/>
          </w:divBdr>
        </w:div>
      </w:divsChild>
    </w:div>
    <w:div w:id="730889597">
      <w:bodyDiv w:val="1"/>
      <w:marLeft w:val="0"/>
      <w:marRight w:val="0"/>
      <w:marTop w:val="0"/>
      <w:marBottom w:val="0"/>
      <w:divBdr>
        <w:top w:val="none" w:sz="0" w:space="0" w:color="auto"/>
        <w:left w:val="none" w:sz="0" w:space="0" w:color="auto"/>
        <w:bottom w:val="none" w:sz="0" w:space="0" w:color="auto"/>
        <w:right w:val="none" w:sz="0" w:space="0" w:color="auto"/>
      </w:divBdr>
      <w:divsChild>
        <w:div w:id="1967194670">
          <w:marLeft w:val="0"/>
          <w:marRight w:val="0"/>
          <w:marTop w:val="0"/>
          <w:marBottom w:val="0"/>
          <w:divBdr>
            <w:top w:val="none" w:sz="0" w:space="0" w:color="auto"/>
            <w:left w:val="none" w:sz="0" w:space="0" w:color="auto"/>
            <w:bottom w:val="none" w:sz="0" w:space="0" w:color="auto"/>
            <w:right w:val="none" w:sz="0" w:space="0" w:color="auto"/>
          </w:divBdr>
        </w:div>
      </w:divsChild>
    </w:div>
    <w:div w:id="742072534">
      <w:bodyDiv w:val="1"/>
      <w:marLeft w:val="0"/>
      <w:marRight w:val="0"/>
      <w:marTop w:val="0"/>
      <w:marBottom w:val="0"/>
      <w:divBdr>
        <w:top w:val="none" w:sz="0" w:space="0" w:color="auto"/>
        <w:left w:val="none" w:sz="0" w:space="0" w:color="auto"/>
        <w:bottom w:val="none" w:sz="0" w:space="0" w:color="auto"/>
        <w:right w:val="none" w:sz="0" w:space="0" w:color="auto"/>
      </w:divBdr>
      <w:divsChild>
        <w:div w:id="1147553044">
          <w:marLeft w:val="0"/>
          <w:marRight w:val="0"/>
          <w:marTop w:val="0"/>
          <w:marBottom w:val="0"/>
          <w:divBdr>
            <w:top w:val="none" w:sz="0" w:space="0" w:color="auto"/>
            <w:left w:val="none" w:sz="0" w:space="0" w:color="auto"/>
            <w:bottom w:val="none" w:sz="0" w:space="0" w:color="auto"/>
            <w:right w:val="none" w:sz="0" w:space="0" w:color="auto"/>
          </w:divBdr>
        </w:div>
      </w:divsChild>
    </w:div>
    <w:div w:id="746851952">
      <w:bodyDiv w:val="1"/>
      <w:marLeft w:val="0"/>
      <w:marRight w:val="0"/>
      <w:marTop w:val="0"/>
      <w:marBottom w:val="0"/>
      <w:divBdr>
        <w:top w:val="none" w:sz="0" w:space="0" w:color="auto"/>
        <w:left w:val="none" w:sz="0" w:space="0" w:color="auto"/>
        <w:bottom w:val="none" w:sz="0" w:space="0" w:color="auto"/>
        <w:right w:val="none" w:sz="0" w:space="0" w:color="auto"/>
      </w:divBdr>
      <w:divsChild>
        <w:div w:id="2005162742">
          <w:marLeft w:val="0"/>
          <w:marRight w:val="0"/>
          <w:marTop w:val="0"/>
          <w:marBottom w:val="0"/>
          <w:divBdr>
            <w:top w:val="none" w:sz="0" w:space="0" w:color="auto"/>
            <w:left w:val="none" w:sz="0" w:space="0" w:color="auto"/>
            <w:bottom w:val="none" w:sz="0" w:space="0" w:color="auto"/>
            <w:right w:val="none" w:sz="0" w:space="0" w:color="auto"/>
          </w:divBdr>
        </w:div>
      </w:divsChild>
    </w:div>
    <w:div w:id="749620331">
      <w:bodyDiv w:val="1"/>
      <w:marLeft w:val="0"/>
      <w:marRight w:val="0"/>
      <w:marTop w:val="0"/>
      <w:marBottom w:val="0"/>
      <w:divBdr>
        <w:top w:val="none" w:sz="0" w:space="0" w:color="auto"/>
        <w:left w:val="none" w:sz="0" w:space="0" w:color="auto"/>
        <w:bottom w:val="none" w:sz="0" w:space="0" w:color="auto"/>
        <w:right w:val="none" w:sz="0" w:space="0" w:color="auto"/>
      </w:divBdr>
    </w:div>
    <w:div w:id="751197343">
      <w:bodyDiv w:val="1"/>
      <w:marLeft w:val="0"/>
      <w:marRight w:val="0"/>
      <w:marTop w:val="0"/>
      <w:marBottom w:val="0"/>
      <w:divBdr>
        <w:top w:val="none" w:sz="0" w:space="0" w:color="auto"/>
        <w:left w:val="none" w:sz="0" w:space="0" w:color="auto"/>
        <w:bottom w:val="none" w:sz="0" w:space="0" w:color="auto"/>
        <w:right w:val="none" w:sz="0" w:space="0" w:color="auto"/>
      </w:divBdr>
      <w:divsChild>
        <w:div w:id="1120490890">
          <w:marLeft w:val="0"/>
          <w:marRight w:val="0"/>
          <w:marTop w:val="0"/>
          <w:marBottom w:val="0"/>
          <w:divBdr>
            <w:top w:val="none" w:sz="0" w:space="0" w:color="auto"/>
            <w:left w:val="none" w:sz="0" w:space="0" w:color="auto"/>
            <w:bottom w:val="none" w:sz="0" w:space="0" w:color="auto"/>
            <w:right w:val="none" w:sz="0" w:space="0" w:color="auto"/>
          </w:divBdr>
        </w:div>
      </w:divsChild>
    </w:div>
    <w:div w:id="763501695">
      <w:bodyDiv w:val="1"/>
      <w:marLeft w:val="0"/>
      <w:marRight w:val="0"/>
      <w:marTop w:val="0"/>
      <w:marBottom w:val="0"/>
      <w:divBdr>
        <w:top w:val="none" w:sz="0" w:space="0" w:color="auto"/>
        <w:left w:val="none" w:sz="0" w:space="0" w:color="auto"/>
        <w:bottom w:val="none" w:sz="0" w:space="0" w:color="auto"/>
        <w:right w:val="none" w:sz="0" w:space="0" w:color="auto"/>
      </w:divBdr>
      <w:divsChild>
        <w:div w:id="1017736314">
          <w:marLeft w:val="0"/>
          <w:marRight w:val="0"/>
          <w:marTop w:val="0"/>
          <w:marBottom w:val="0"/>
          <w:divBdr>
            <w:top w:val="none" w:sz="0" w:space="0" w:color="auto"/>
            <w:left w:val="none" w:sz="0" w:space="0" w:color="auto"/>
            <w:bottom w:val="none" w:sz="0" w:space="0" w:color="auto"/>
            <w:right w:val="none" w:sz="0" w:space="0" w:color="auto"/>
          </w:divBdr>
        </w:div>
      </w:divsChild>
    </w:div>
    <w:div w:id="768965414">
      <w:bodyDiv w:val="1"/>
      <w:marLeft w:val="0"/>
      <w:marRight w:val="0"/>
      <w:marTop w:val="0"/>
      <w:marBottom w:val="0"/>
      <w:divBdr>
        <w:top w:val="none" w:sz="0" w:space="0" w:color="auto"/>
        <w:left w:val="none" w:sz="0" w:space="0" w:color="auto"/>
        <w:bottom w:val="none" w:sz="0" w:space="0" w:color="auto"/>
        <w:right w:val="none" w:sz="0" w:space="0" w:color="auto"/>
      </w:divBdr>
      <w:divsChild>
        <w:div w:id="203491793">
          <w:marLeft w:val="0"/>
          <w:marRight w:val="0"/>
          <w:marTop w:val="0"/>
          <w:marBottom w:val="0"/>
          <w:divBdr>
            <w:top w:val="none" w:sz="0" w:space="0" w:color="auto"/>
            <w:left w:val="none" w:sz="0" w:space="0" w:color="auto"/>
            <w:bottom w:val="none" w:sz="0" w:space="0" w:color="auto"/>
            <w:right w:val="none" w:sz="0" w:space="0" w:color="auto"/>
          </w:divBdr>
        </w:div>
      </w:divsChild>
    </w:div>
    <w:div w:id="783614845">
      <w:bodyDiv w:val="1"/>
      <w:marLeft w:val="0"/>
      <w:marRight w:val="0"/>
      <w:marTop w:val="0"/>
      <w:marBottom w:val="0"/>
      <w:divBdr>
        <w:top w:val="none" w:sz="0" w:space="0" w:color="auto"/>
        <w:left w:val="none" w:sz="0" w:space="0" w:color="auto"/>
        <w:bottom w:val="none" w:sz="0" w:space="0" w:color="auto"/>
        <w:right w:val="none" w:sz="0" w:space="0" w:color="auto"/>
      </w:divBdr>
      <w:divsChild>
        <w:div w:id="262959407">
          <w:marLeft w:val="0"/>
          <w:marRight w:val="0"/>
          <w:marTop w:val="0"/>
          <w:marBottom w:val="0"/>
          <w:divBdr>
            <w:top w:val="none" w:sz="0" w:space="0" w:color="auto"/>
            <w:left w:val="none" w:sz="0" w:space="0" w:color="auto"/>
            <w:bottom w:val="none" w:sz="0" w:space="0" w:color="auto"/>
            <w:right w:val="none" w:sz="0" w:space="0" w:color="auto"/>
          </w:divBdr>
        </w:div>
      </w:divsChild>
    </w:div>
    <w:div w:id="787504528">
      <w:bodyDiv w:val="1"/>
      <w:marLeft w:val="0"/>
      <w:marRight w:val="0"/>
      <w:marTop w:val="0"/>
      <w:marBottom w:val="0"/>
      <w:divBdr>
        <w:top w:val="none" w:sz="0" w:space="0" w:color="auto"/>
        <w:left w:val="none" w:sz="0" w:space="0" w:color="auto"/>
        <w:bottom w:val="none" w:sz="0" w:space="0" w:color="auto"/>
        <w:right w:val="none" w:sz="0" w:space="0" w:color="auto"/>
      </w:divBdr>
      <w:divsChild>
        <w:div w:id="834031015">
          <w:marLeft w:val="0"/>
          <w:marRight w:val="0"/>
          <w:marTop w:val="0"/>
          <w:marBottom w:val="0"/>
          <w:divBdr>
            <w:top w:val="none" w:sz="0" w:space="0" w:color="auto"/>
            <w:left w:val="none" w:sz="0" w:space="0" w:color="auto"/>
            <w:bottom w:val="none" w:sz="0" w:space="0" w:color="auto"/>
            <w:right w:val="none" w:sz="0" w:space="0" w:color="auto"/>
          </w:divBdr>
        </w:div>
      </w:divsChild>
    </w:div>
    <w:div w:id="793837603">
      <w:bodyDiv w:val="1"/>
      <w:marLeft w:val="0"/>
      <w:marRight w:val="0"/>
      <w:marTop w:val="0"/>
      <w:marBottom w:val="0"/>
      <w:divBdr>
        <w:top w:val="none" w:sz="0" w:space="0" w:color="auto"/>
        <w:left w:val="none" w:sz="0" w:space="0" w:color="auto"/>
        <w:bottom w:val="none" w:sz="0" w:space="0" w:color="auto"/>
        <w:right w:val="none" w:sz="0" w:space="0" w:color="auto"/>
      </w:divBdr>
    </w:div>
    <w:div w:id="802045829">
      <w:bodyDiv w:val="1"/>
      <w:marLeft w:val="0"/>
      <w:marRight w:val="0"/>
      <w:marTop w:val="0"/>
      <w:marBottom w:val="0"/>
      <w:divBdr>
        <w:top w:val="none" w:sz="0" w:space="0" w:color="auto"/>
        <w:left w:val="none" w:sz="0" w:space="0" w:color="auto"/>
        <w:bottom w:val="none" w:sz="0" w:space="0" w:color="auto"/>
        <w:right w:val="none" w:sz="0" w:space="0" w:color="auto"/>
      </w:divBdr>
      <w:divsChild>
        <w:div w:id="569538076">
          <w:marLeft w:val="0"/>
          <w:marRight w:val="0"/>
          <w:marTop w:val="0"/>
          <w:marBottom w:val="0"/>
          <w:divBdr>
            <w:top w:val="none" w:sz="0" w:space="0" w:color="auto"/>
            <w:left w:val="none" w:sz="0" w:space="0" w:color="auto"/>
            <w:bottom w:val="none" w:sz="0" w:space="0" w:color="auto"/>
            <w:right w:val="none" w:sz="0" w:space="0" w:color="auto"/>
          </w:divBdr>
        </w:div>
      </w:divsChild>
    </w:div>
    <w:div w:id="812797375">
      <w:bodyDiv w:val="1"/>
      <w:marLeft w:val="0"/>
      <w:marRight w:val="0"/>
      <w:marTop w:val="0"/>
      <w:marBottom w:val="0"/>
      <w:divBdr>
        <w:top w:val="none" w:sz="0" w:space="0" w:color="auto"/>
        <w:left w:val="none" w:sz="0" w:space="0" w:color="auto"/>
        <w:bottom w:val="none" w:sz="0" w:space="0" w:color="auto"/>
        <w:right w:val="none" w:sz="0" w:space="0" w:color="auto"/>
      </w:divBdr>
      <w:divsChild>
        <w:div w:id="791635476">
          <w:marLeft w:val="0"/>
          <w:marRight w:val="0"/>
          <w:marTop w:val="0"/>
          <w:marBottom w:val="0"/>
          <w:divBdr>
            <w:top w:val="none" w:sz="0" w:space="0" w:color="auto"/>
            <w:left w:val="none" w:sz="0" w:space="0" w:color="auto"/>
            <w:bottom w:val="none" w:sz="0" w:space="0" w:color="auto"/>
            <w:right w:val="none" w:sz="0" w:space="0" w:color="auto"/>
          </w:divBdr>
        </w:div>
      </w:divsChild>
    </w:div>
    <w:div w:id="817310757">
      <w:bodyDiv w:val="1"/>
      <w:marLeft w:val="0"/>
      <w:marRight w:val="0"/>
      <w:marTop w:val="0"/>
      <w:marBottom w:val="0"/>
      <w:divBdr>
        <w:top w:val="none" w:sz="0" w:space="0" w:color="auto"/>
        <w:left w:val="none" w:sz="0" w:space="0" w:color="auto"/>
        <w:bottom w:val="none" w:sz="0" w:space="0" w:color="auto"/>
        <w:right w:val="none" w:sz="0" w:space="0" w:color="auto"/>
      </w:divBdr>
    </w:div>
    <w:div w:id="821122718">
      <w:bodyDiv w:val="1"/>
      <w:marLeft w:val="0"/>
      <w:marRight w:val="0"/>
      <w:marTop w:val="0"/>
      <w:marBottom w:val="0"/>
      <w:divBdr>
        <w:top w:val="none" w:sz="0" w:space="0" w:color="auto"/>
        <w:left w:val="none" w:sz="0" w:space="0" w:color="auto"/>
        <w:bottom w:val="none" w:sz="0" w:space="0" w:color="auto"/>
        <w:right w:val="none" w:sz="0" w:space="0" w:color="auto"/>
      </w:divBdr>
      <w:divsChild>
        <w:div w:id="1591502009">
          <w:marLeft w:val="0"/>
          <w:marRight w:val="0"/>
          <w:marTop w:val="0"/>
          <w:marBottom w:val="0"/>
          <w:divBdr>
            <w:top w:val="none" w:sz="0" w:space="0" w:color="auto"/>
            <w:left w:val="none" w:sz="0" w:space="0" w:color="auto"/>
            <w:bottom w:val="none" w:sz="0" w:space="0" w:color="auto"/>
            <w:right w:val="none" w:sz="0" w:space="0" w:color="auto"/>
          </w:divBdr>
        </w:div>
      </w:divsChild>
    </w:div>
    <w:div w:id="824317175">
      <w:bodyDiv w:val="1"/>
      <w:marLeft w:val="0"/>
      <w:marRight w:val="0"/>
      <w:marTop w:val="0"/>
      <w:marBottom w:val="0"/>
      <w:divBdr>
        <w:top w:val="none" w:sz="0" w:space="0" w:color="auto"/>
        <w:left w:val="none" w:sz="0" w:space="0" w:color="auto"/>
        <w:bottom w:val="none" w:sz="0" w:space="0" w:color="auto"/>
        <w:right w:val="none" w:sz="0" w:space="0" w:color="auto"/>
      </w:divBdr>
      <w:divsChild>
        <w:div w:id="608395419">
          <w:marLeft w:val="0"/>
          <w:marRight w:val="0"/>
          <w:marTop w:val="0"/>
          <w:marBottom w:val="0"/>
          <w:divBdr>
            <w:top w:val="none" w:sz="0" w:space="0" w:color="auto"/>
            <w:left w:val="none" w:sz="0" w:space="0" w:color="auto"/>
            <w:bottom w:val="none" w:sz="0" w:space="0" w:color="auto"/>
            <w:right w:val="none" w:sz="0" w:space="0" w:color="auto"/>
          </w:divBdr>
        </w:div>
      </w:divsChild>
    </w:div>
    <w:div w:id="826097350">
      <w:bodyDiv w:val="1"/>
      <w:marLeft w:val="0"/>
      <w:marRight w:val="0"/>
      <w:marTop w:val="0"/>
      <w:marBottom w:val="0"/>
      <w:divBdr>
        <w:top w:val="none" w:sz="0" w:space="0" w:color="auto"/>
        <w:left w:val="none" w:sz="0" w:space="0" w:color="auto"/>
        <w:bottom w:val="none" w:sz="0" w:space="0" w:color="auto"/>
        <w:right w:val="none" w:sz="0" w:space="0" w:color="auto"/>
      </w:divBdr>
      <w:divsChild>
        <w:div w:id="2108496288">
          <w:marLeft w:val="0"/>
          <w:marRight w:val="0"/>
          <w:marTop w:val="0"/>
          <w:marBottom w:val="0"/>
          <w:divBdr>
            <w:top w:val="none" w:sz="0" w:space="0" w:color="auto"/>
            <w:left w:val="none" w:sz="0" w:space="0" w:color="auto"/>
            <w:bottom w:val="none" w:sz="0" w:space="0" w:color="auto"/>
            <w:right w:val="none" w:sz="0" w:space="0" w:color="auto"/>
          </w:divBdr>
        </w:div>
      </w:divsChild>
    </w:div>
    <w:div w:id="848717066">
      <w:bodyDiv w:val="1"/>
      <w:marLeft w:val="0"/>
      <w:marRight w:val="0"/>
      <w:marTop w:val="0"/>
      <w:marBottom w:val="0"/>
      <w:divBdr>
        <w:top w:val="none" w:sz="0" w:space="0" w:color="auto"/>
        <w:left w:val="none" w:sz="0" w:space="0" w:color="auto"/>
        <w:bottom w:val="none" w:sz="0" w:space="0" w:color="auto"/>
        <w:right w:val="none" w:sz="0" w:space="0" w:color="auto"/>
      </w:divBdr>
      <w:divsChild>
        <w:div w:id="335697911">
          <w:marLeft w:val="0"/>
          <w:marRight w:val="0"/>
          <w:marTop w:val="0"/>
          <w:marBottom w:val="0"/>
          <w:divBdr>
            <w:top w:val="none" w:sz="0" w:space="0" w:color="auto"/>
            <w:left w:val="none" w:sz="0" w:space="0" w:color="auto"/>
            <w:bottom w:val="none" w:sz="0" w:space="0" w:color="auto"/>
            <w:right w:val="none" w:sz="0" w:space="0" w:color="auto"/>
          </w:divBdr>
        </w:div>
      </w:divsChild>
    </w:div>
    <w:div w:id="852106904">
      <w:bodyDiv w:val="1"/>
      <w:marLeft w:val="0"/>
      <w:marRight w:val="0"/>
      <w:marTop w:val="0"/>
      <w:marBottom w:val="0"/>
      <w:divBdr>
        <w:top w:val="none" w:sz="0" w:space="0" w:color="auto"/>
        <w:left w:val="none" w:sz="0" w:space="0" w:color="auto"/>
        <w:bottom w:val="none" w:sz="0" w:space="0" w:color="auto"/>
        <w:right w:val="none" w:sz="0" w:space="0" w:color="auto"/>
      </w:divBdr>
    </w:div>
    <w:div w:id="856650435">
      <w:bodyDiv w:val="1"/>
      <w:marLeft w:val="0"/>
      <w:marRight w:val="0"/>
      <w:marTop w:val="0"/>
      <w:marBottom w:val="0"/>
      <w:divBdr>
        <w:top w:val="none" w:sz="0" w:space="0" w:color="auto"/>
        <w:left w:val="none" w:sz="0" w:space="0" w:color="auto"/>
        <w:bottom w:val="none" w:sz="0" w:space="0" w:color="auto"/>
        <w:right w:val="none" w:sz="0" w:space="0" w:color="auto"/>
      </w:divBdr>
      <w:divsChild>
        <w:div w:id="839465516">
          <w:marLeft w:val="0"/>
          <w:marRight w:val="0"/>
          <w:marTop w:val="0"/>
          <w:marBottom w:val="0"/>
          <w:divBdr>
            <w:top w:val="none" w:sz="0" w:space="0" w:color="auto"/>
            <w:left w:val="none" w:sz="0" w:space="0" w:color="auto"/>
            <w:bottom w:val="none" w:sz="0" w:space="0" w:color="auto"/>
            <w:right w:val="none" w:sz="0" w:space="0" w:color="auto"/>
          </w:divBdr>
        </w:div>
      </w:divsChild>
    </w:div>
    <w:div w:id="877088355">
      <w:bodyDiv w:val="1"/>
      <w:marLeft w:val="0"/>
      <w:marRight w:val="0"/>
      <w:marTop w:val="0"/>
      <w:marBottom w:val="0"/>
      <w:divBdr>
        <w:top w:val="none" w:sz="0" w:space="0" w:color="auto"/>
        <w:left w:val="none" w:sz="0" w:space="0" w:color="auto"/>
        <w:bottom w:val="none" w:sz="0" w:space="0" w:color="auto"/>
        <w:right w:val="none" w:sz="0" w:space="0" w:color="auto"/>
      </w:divBdr>
      <w:divsChild>
        <w:div w:id="891966478">
          <w:marLeft w:val="0"/>
          <w:marRight w:val="0"/>
          <w:marTop w:val="0"/>
          <w:marBottom w:val="0"/>
          <w:divBdr>
            <w:top w:val="none" w:sz="0" w:space="0" w:color="auto"/>
            <w:left w:val="none" w:sz="0" w:space="0" w:color="auto"/>
            <w:bottom w:val="none" w:sz="0" w:space="0" w:color="auto"/>
            <w:right w:val="none" w:sz="0" w:space="0" w:color="auto"/>
          </w:divBdr>
        </w:div>
      </w:divsChild>
    </w:div>
    <w:div w:id="879588302">
      <w:bodyDiv w:val="1"/>
      <w:marLeft w:val="0"/>
      <w:marRight w:val="0"/>
      <w:marTop w:val="0"/>
      <w:marBottom w:val="0"/>
      <w:divBdr>
        <w:top w:val="none" w:sz="0" w:space="0" w:color="auto"/>
        <w:left w:val="none" w:sz="0" w:space="0" w:color="auto"/>
        <w:bottom w:val="none" w:sz="0" w:space="0" w:color="auto"/>
        <w:right w:val="none" w:sz="0" w:space="0" w:color="auto"/>
      </w:divBdr>
      <w:divsChild>
        <w:div w:id="195313826">
          <w:marLeft w:val="0"/>
          <w:marRight w:val="0"/>
          <w:marTop w:val="0"/>
          <w:marBottom w:val="0"/>
          <w:divBdr>
            <w:top w:val="none" w:sz="0" w:space="0" w:color="auto"/>
            <w:left w:val="none" w:sz="0" w:space="0" w:color="auto"/>
            <w:bottom w:val="none" w:sz="0" w:space="0" w:color="auto"/>
            <w:right w:val="none" w:sz="0" w:space="0" w:color="auto"/>
          </w:divBdr>
        </w:div>
      </w:divsChild>
    </w:div>
    <w:div w:id="902565544">
      <w:bodyDiv w:val="1"/>
      <w:marLeft w:val="0"/>
      <w:marRight w:val="0"/>
      <w:marTop w:val="0"/>
      <w:marBottom w:val="0"/>
      <w:divBdr>
        <w:top w:val="none" w:sz="0" w:space="0" w:color="auto"/>
        <w:left w:val="none" w:sz="0" w:space="0" w:color="auto"/>
        <w:bottom w:val="none" w:sz="0" w:space="0" w:color="auto"/>
        <w:right w:val="none" w:sz="0" w:space="0" w:color="auto"/>
      </w:divBdr>
      <w:divsChild>
        <w:div w:id="1059401202">
          <w:marLeft w:val="0"/>
          <w:marRight w:val="0"/>
          <w:marTop w:val="0"/>
          <w:marBottom w:val="0"/>
          <w:divBdr>
            <w:top w:val="none" w:sz="0" w:space="0" w:color="auto"/>
            <w:left w:val="none" w:sz="0" w:space="0" w:color="auto"/>
            <w:bottom w:val="none" w:sz="0" w:space="0" w:color="auto"/>
            <w:right w:val="none" w:sz="0" w:space="0" w:color="auto"/>
          </w:divBdr>
        </w:div>
      </w:divsChild>
    </w:div>
    <w:div w:id="910118322">
      <w:bodyDiv w:val="1"/>
      <w:marLeft w:val="0"/>
      <w:marRight w:val="0"/>
      <w:marTop w:val="0"/>
      <w:marBottom w:val="0"/>
      <w:divBdr>
        <w:top w:val="none" w:sz="0" w:space="0" w:color="auto"/>
        <w:left w:val="none" w:sz="0" w:space="0" w:color="auto"/>
        <w:bottom w:val="none" w:sz="0" w:space="0" w:color="auto"/>
        <w:right w:val="none" w:sz="0" w:space="0" w:color="auto"/>
      </w:divBdr>
      <w:divsChild>
        <w:div w:id="647396195">
          <w:marLeft w:val="0"/>
          <w:marRight w:val="0"/>
          <w:marTop w:val="0"/>
          <w:marBottom w:val="0"/>
          <w:divBdr>
            <w:top w:val="none" w:sz="0" w:space="0" w:color="auto"/>
            <w:left w:val="none" w:sz="0" w:space="0" w:color="auto"/>
            <w:bottom w:val="none" w:sz="0" w:space="0" w:color="auto"/>
            <w:right w:val="none" w:sz="0" w:space="0" w:color="auto"/>
          </w:divBdr>
        </w:div>
      </w:divsChild>
    </w:div>
    <w:div w:id="928198334">
      <w:bodyDiv w:val="1"/>
      <w:marLeft w:val="0"/>
      <w:marRight w:val="0"/>
      <w:marTop w:val="0"/>
      <w:marBottom w:val="0"/>
      <w:divBdr>
        <w:top w:val="none" w:sz="0" w:space="0" w:color="auto"/>
        <w:left w:val="none" w:sz="0" w:space="0" w:color="auto"/>
        <w:bottom w:val="none" w:sz="0" w:space="0" w:color="auto"/>
        <w:right w:val="none" w:sz="0" w:space="0" w:color="auto"/>
      </w:divBdr>
    </w:div>
    <w:div w:id="933515108">
      <w:bodyDiv w:val="1"/>
      <w:marLeft w:val="0"/>
      <w:marRight w:val="0"/>
      <w:marTop w:val="0"/>
      <w:marBottom w:val="0"/>
      <w:divBdr>
        <w:top w:val="none" w:sz="0" w:space="0" w:color="auto"/>
        <w:left w:val="none" w:sz="0" w:space="0" w:color="auto"/>
        <w:bottom w:val="none" w:sz="0" w:space="0" w:color="auto"/>
        <w:right w:val="none" w:sz="0" w:space="0" w:color="auto"/>
      </w:divBdr>
    </w:div>
    <w:div w:id="934436657">
      <w:bodyDiv w:val="1"/>
      <w:marLeft w:val="0"/>
      <w:marRight w:val="0"/>
      <w:marTop w:val="0"/>
      <w:marBottom w:val="0"/>
      <w:divBdr>
        <w:top w:val="none" w:sz="0" w:space="0" w:color="auto"/>
        <w:left w:val="none" w:sz="0" w:space="0" w:color="auto"/>
        <w:bottom w:val="none" w:sz="0" w:space="0" w:color="auto"/>
        <w:right w:val="none" w:sz="0" w:space="0" w:color="auto"/>
      </w:divBdr>
      <w:divsChild>
        <w:div w:id="116412997">
          <w:marLeft w:val="0"/>
          <w:marRight w:val="0"/>
          <w:marTop w:val="0"/>
          <w:marBottom w:val="0"/>
          <w:divBdr>
            <w:top w:val="none" w:sz="0" w:space="0" w:color="auto"/>
            <w:left w:val="none" w:sz="0" w:space="0" w:color="auto"/>
            <w:bottom w:val="none" w:sz="0" w:space="0" w:color="auto"/>
            <w:right w:val="none" w:sz="0" w:space="0" w:color="auto"/>
          </w:divBdr>
        </w:div>
      </w:divsChild>
    </w:div>
    <w:div w:id="937567762">
      <w:bodyDiv w:val="1"/>
      <w:marLeft w:val="0"/>
      <w:marRight w:val="0"/>
      <w:marTop w:val="0"/>
      <w:marBottom w:val="0"/>
      <w:divBdr>
        <w:top w:val="none" w:sz="0" w:space="0" w:color="auto"/>
        <w:left w:val="none" w:sz="0" w:space="0" w:color="auto"/>
        <w:bottom w:val="none" w:sz="0" w:space="0" w:color="auto"/>
        <w:right w:val="none" w:sz="0" w:space="0" w:color="auto"/>
      </w:divBdr>
    </w:div>
    <w:div w:id="940718466">
      <w:bodyDiv w:val="1"/>
      <w:marLeft w:val="0"/>
      <w:marRight w:val="0"/>
      <w:marTop w:val="0"/>
      <w:marBottom w:val="0"/>
      <w:divBdr>
        <w:top w:val="none" w:sz="0" w:space="0" w:color="auto"/>
        <w:left w:val="none" w:sz="0" w:space="0" w:color="auto"/>
        <w:bottom w:val="none" w:sz="0" w:space="0" w:color="auto"/>
        <w:right w:val="none" w:sz="0" w:space="0" w:color="auto"/>
      </w:divBdr>
    </w:div>
    <w:div w:id="947926669">
      <w:bodyDiv w:val="1"/>
      <w:marLeft w:val="0"/>
      <w:marRight w:val="0"/>
      <w:marTop w:val="0"/>
      <w:marBottom w:val="0"/>
      <w:divBdr>
        <w:top w:val="none" w:sz="0" w:space="0" w:color="auto"/>
        <w:left w:val="none" w:sz="0" w:space="0" w:color="auto"/>
        <w:bottom w:val="none" w:sz="0" w:space="0" w:color="auto"/>
        <w:right w:val="none" w:sz="0" w:space="0" w:color="auto"/>
      </w:divBdr>
      <w:divsChild>
        <w:div w:id="2064717380">
          <w:marLeft w:val="0"/>
          <w:marRight w:val="0"/>
          <w:marTop w:val="0"/>
          <w:marBottom w:val="0"/>
          <w:divBdr>
            <w:top w:val="none" w:sz="0" w:space="0" w:color="auto"/>
            <w:left w:val="none" w:sz="0" w:space="0" w:color="auto"/>
            <w:bottom w:val="none" w:sz="0" w:space="0" w:color="auto"/>
            <w:right w:val="none" w:sz="0" w:space="0" w:color="auto"/>
          </w:divBdr>
        </w:div>
      </w:divsChild>
    </w:div>
    <w:div w:id="954360722">
      <w:bodyDiv w:val="1"/>
      <w:marLeft w:val="0"/>
      <w:marRight w:val="0"/>
      <w:marTop w:val="0"/>
      <w:marBottom w:val="0"/>
      <w:divBdr>
        <w:top w:val="none" w:sz="0" w:space="0" w:color="auto"/>
        <w:left w:val="none" w:sz="0" w:space="0" w:color="auto"/>
        <w:bottom w:val="none" w:sz="0" w:space="0" w:color="auto"/>
        <w:right w:val="none" w:sz="0" w:space="0" w:color="auto"/>
      </w:divBdr>
    </w:div>
    <w:div w:id="957763776">
      <w:bodyDiv w:val="1"/>
      <w:marLeft w:val="0"/>
      <w:marRight w:val="0"/>
      <w:marTop w:val="0"/>
      <w:marBottom w:val="0"/>
      <w:divBdr>
        <w:top w:val="none" w:sz="0" w:space="0" w:color="auto"/>
        <w:left w:val="none" w:sz="0" w:space="0" w:color="auto"/>
        <w:bottom w:val="none" w:sz="0" w:space="0" w:color="auto"/>
        <w:right w:val="none" w:sz="0" w:space="0" w:color="auto"/>
      </w:divBdr>
      <w:divsChild>
        <w:div w:id="12657991">
          <w:marLeft w:val="0"/>
          <w:marRight w:val="0"/>
          <w:marTop w:val="0"/>
          <w:marBottom w:val="0"/>
          <w:divBdr>
            <w:top w:val="none" w:sz="0" w:space="0" w:color="auto"/>
            <w:left w:val="none" w:sz="0" w:space="0" w:color="auto"/>
            <w:bottom w:val="none" w:sz="0" w:space="0" w:color="auto"/>
            <w:right w:val="none" w:sz="0" w:space="0" w:color="auto"/>
          </w:divBdr>
        </w:div>
      </w:divsChild>
    </w:div>
    <w:div w:id="962078842">
      <w:bodyDiv w:val="1"/>
      <w:marLeft w:val="0"/>
      <w:marRight w:val="0"/>
      <w:marTop w:val="0"/>
      <w:marBottom w:val="0"/>
      <w:divBdr>
        <w:top w:val="none" w:sz="0" w:space="0" w:color="auto"/>
        <w:left w:val="none" w:sz="0" w:space="0" w:color="auto"/>
        <w:bottom w:val="none" w:sz="0" w:space="0" w:color="auto"/>
        <w:right w:val="none" w:sz="0" w:space="0" w:color="auto"/>
      </w:divBdr>
    </w:div>
    <w:div w:id="991517564">
      <w:bodyDiv w:val="1"/>
      <w:marLeft w:val="0"/>
      <w:marRight w:val="0"/>
      <w:marTop w:val="0"/>
      <w:marBottom w:val="0"/>
      <w:divBdr>
        <w:top w:val="none" w:sz="0" w:space="0" w:color="auto"/>
        <w:left w:val="none" w:sz="0" w:space="0" w:color="auto"/>
        <w:bottom w:val="none" w:sz="0" w:space="0" w:color="auto"/>
        <w:right w:val="none" w:sz="0" w:space="0" w:color="auto"/>
      </w:divBdr>
      <w:divsChild>
        <w:div w:id="10113441">
          <w:marLeft w:val="0"/>
          <w:marRight w:val="0"/>
          <w:marTop w:val="0"/>
          <w:marBottom w:val="0"/>
          <w:divBdr>
            <w:top w:val="none" w:sz="0" w:space="0" w:color="auto"/>
            <w:left w:val="none" w:sz="0" w:space="0" w:color="auto"/>
            <w:bottom w:val="none" w:sz="0" w:space="0" w:color="auto"/>
            <w:right w:val="none" w:sz="0" w:space="0" w:color="auto"/>
          </w:divBdr>
        </w:div>
      </w:divsChild>
    </w:div>
    <w:div w:id="1003581557">
      <w:bodyDiv w:val="1"/>
      <w:marLeft w:val="0"/>
      <w:marRight w:val="0"/>
      <w:marTop w:val="0"/>
      <w:marBottom w:val="0"/>
      <w:divBdr>
        <w:top w:val="none" w:sz="0" w:space="0" w:color="auto"/>
        <w:left w:val="none" w:sz="0" w:space="0" w:color="auto"/>
        <w:bottom w:val="none" w:sz="0" w:space="0" w:color="auto"/>
        <w:right w:val="none" w:sz="0" w:space="0" w:color="auto"/>
      </w:divBdr>
    </w:div>
    <w:div w:id="1007290629">
      <w:bodyDiv w:val="1"/>
      <w:marLeft w:val="0"/>
      <w:marRight w:val="0"/>
      <w:marTop w:val="0"/>
      <w:marBottom w:val="0"/>
      <w:divBdr>
        <w:top w:val="none" w:sz="0" w:space="0" w:color="auto"/>
        <w:left w:val="none" w:sz="0" w:space="0" w:color="auto"/>
        <w:bottom w:val="none" w:sz="0" w:space="0" w:color="auto"/>
        <w:right w:val="none" w:sz="0" w:space="0" w:color="auto"/>
      </w:divBdr>
      <w:divsChild>
        <w:div w:id="2108963589">
          <w:marLeft w:val="0"/>
          <w:marRight w:val="0"/>
          <w:marTop w:val="0"/>
          <w:marBottom w:val="0"/>
          <w:divBdr>
            <w:top w:val="none" w:sz="0" w:space="0" w:color="auto"/>
            <w:left w:val="none" w:sz="0" w:space="0" w:color="auto"/>
            <w:bottom w:val="none" w:sz="0" w:space="0" w:color="auto"/>
            <w:right w:val="none" w:sz="0" w:space="0" w:color="auto"/>
          </w:divBdr>
        </w:div>
      </w:divsChild>
    </w:div>
    <w:div w:id="1009596771">
      <w:bodyDiv w:val="1"/>
      <w:marLeft w:val="0"/>
      <w:marRight w:val="0"/>
      <w:marTop w:val="0"/>
      <w:marBottom w:val="0"/>
      <w:divBdr>
        <w:top w:val="none" w:sz="0" w:space="0" w:color="auto"/>
        <w:left w:val="none" w:sz="0" w:space="0" w:color="auto"/>
        <w:bottom w:val="none" w:sz="0" w:space="0" w:color="auto"/>
        <w:right w:val="none" w:sz="0" w:space="0" w:color="auto"/>
      </w:divBdr>
      <w:divsChild>
        <w:div w:id="826167683">
          <w:marLeft w:val="0"/>
          <w:marRight w:val="0"/>
          <w:marTop w:val="0"/>
          <w:marBottom w:val="0"/>
          <w:divBdr>
            <w:top w:val="none" w:sz="0" w:space="0" w:color="auto"/>
            <w:left w:val="none" w:sz="0" w:space="0" w:color="auto"/>
            <w:bottom w:val="none" w:sz="0" w:space="0" w:color="auto"/>
            <w:right w:val="none" w:sz="0" w:space="0" w:color="auto"/>
          </w:divBdr>
        </w:div>
      </w:divsChild>
    </w:div>
    <w:div w:id="1011569454">
      <w:bodyDiv w:val="1"/>
      <w:marLeft w:val="0"/>
      <w:marRight w:val="0"/>
      <w:marTop w:val="0"/>
      <w:marBottom w:val="0"/>
      <w:divBdr>
        <w:top w:val="none" w:sz="0" w:space="0" w:color="auto"/>
        <w:left w:val="none" w:sz="0" w:space="0" w:color="auto"/>
        <w:bottom w:val="none" w:sz="0" w:space="0" w:color="auto"/>
        <w:right w:val="none" w:sz="0" w:space="0" w:color="auto"/>
      </w:divBdr>
      <w:divsChild>
        <w:div w:id="1725177312">
          <w:marLeft w:val="0"/>
          <w:marRight w:val="0"/>
          <w:marTop w:val="0"/>
          <w:marBottom w:val="0"/>
          <w:divBdr>
            <w:top w:val="none" w:sz="0" w:space="0" w:color="auto"/>
            <w:left w:val="none" w:sz="0" w:space="0" w:color="auto"/>
            <w:bottom w:val="none" w:sz="0" w:space="0" w:color="auto"/>
            <w:right w:val="none" w:sz="0" w:space="0" w:color="auto"/>
          </w:divBdr>
        </w:div>
      </w:divsChild>
    </w:div>
    <w:div w:id="1014840495">
      <w:bodyDiv w:val="1"/>
      <w:marLeft w:val="0"/>
      <w:marRight w:val="0"/>
      <w:marTop w:val="0"/>
      <w:marBottom w:val="0"/>
      <w:divBdr>
        <w:top w:val="none" w:sz="0" w:space="0" w:color="auto"/>
        <w:left w:val="none" w:sz="0" w:space="0" w:color="auto"/>
        <w:bottom w:val="none" w:sz="0" w:space="0" w:color="auto"/>
        <w:right w:val="none" w:sz="0" w:space="0" w:color="auto"/>
      </w:divBdr>
    </w:div>
    <w:div w:id="1018042940">
      <w:bodyDiv w:val="1"/>
      <w:marLeft w:val="0"/>
      <w:marRight w:val="0"/>
      <w:marTop w:val="0"/>
      <w:marBottom w:val="0"/>
      <w:divBdr>
        <w:top w:val="none" w:sz="0" w:space="0" w:color="auto"/>
        <w:left w:val="none" w:sz="0" w:space="0" w:color="auto"/>
        <w:bottom w:val="none" w:sz="0" w:space="0" w:color="auto"/>
        <w:right w:val="none" w:sz="0" w:space="0" w:color="auto"/>
      </w:divBdr>
      <w:divsChild>
        <w:div w:id="2065907408">
          <w:marLeft w:val="0"/>
          <w:marRight w:val="0"/>
          <w:marTop w:val="0"/>
          <w:marBottom w:val="0"/>
          <w:divBdr>
            <w:top w:val="none" w:sz="0" w:space="0" w:color="auto"/>
            <w:left w:val="none" w:sz="0" w:space="0" w:color="auto"/>
            <w:bottom w:val="none" w:sz="0" w:space="0" w:color="auto"/>
            <w:right w:val="none" w:sz="0" w:space="0" w:color="auto"/>
          </w:divBdr>
        </w:div>
      </w:divsChild>
    </w:div>
    <w:div w:id="1028023596">
      <w:bodyDiv w:val="1"/>
      <w:marLeft w:val="0"/>
      <w:marRight w:val="0"/>
      <w:marTop w:val="0"/>
      <w:marBottom w:val="0"/>
      <w:divBdr>
        <w:top w:val="none" w:sz="0" w:space="0" w:color="auto"/>
        <w:left w:val="none" w:sz="0" w:space="0" w:color="auto"/>
        <w:bottom w:val="none" w:sz="0" w:space="0" w:color="auto"/>
        <w:right w:val="none" w:sz="0" w:space="0" w:color="auto"/>
      </w:divBdr>
      <w:divsChild>
        <w:div w:id="194075012">
          <w:marLeft w:val="0"/>
          <w:marRight w:val="0"/>
          <w:marTop w:val="0"/>
          <w:marBottom w:val="0"/>
          <w:divBdr>
            <w:top w:val="none" w:sz="0" w:space="0" w:color="auto"/>
            <w:left w:val="none" w:sz="0" w:space="0" w:color="auto"/>
            <w:bottom w:val="none" w:sz="0" w:space="0" w:color="auto"/>
            <w:right w:val="none" w:sz="0" w:space="0" w:color="auto"/>
          </w:divBdr>
        </w:div>
      </w:divsChild>
    </w:div>
    <w:div w:id="1032609795">
      <w:bodyDiv w:val="1"/>
      <w:marLeft w:val="0"/>
      <w:marRight w:val="0"/>
      <w:marTop w:val="0"/>
      <w:marBottom w:val="0"/>
      <w:divBdr>
        <w:top w:val="none" w:sz="0" w:space="0" w:color="auto"/>
        <w:left w:val="none" w:sz="0" w:space="0" w:color="auto"/>
        <w:bottom w:val="none" w:sz="0" w:space="0" w:color="auto"/>
        <w:right w:val="none" w:sz="0" w:space="0" w:color="auto"/>
      </w:divBdr>
      <w:divsChild>
        <w:div w:id="405958859">
          <w:marLeft w:val="0"/>
          <w:marRight w:val="0"/>
          <w:marTop w:val="0"/>
          <w:marBottom w:val="0"/>
          <w:divBdr>
            <w:top w:val="none" w:sz="0" w:space="0" w:color="auto"/>
            <w:left w:val="none" w:sz="0" w:space="0" w:color="auto"/>
            <w:bottom w:val="none" w:sz="0" w:space="0" w:color="auto"/>
            <w:right w:val="none" w:sz="0" w:space="0" w:color="auto"/>
          </w:divBdr>
        </w:div>
      </w:divsChild>
    </w:div>
    <w:div w:id="1037967283">
      <w:bodyDiv w:val="1"/>
      <w:marLeft w:val="0"/>
      <w:marRight w:val="0"/>
      <w:marTop w:val="0"/>
      <w:marBottom w:val="0"/>
      <w:divBdr>
        <w:top w:val="none" w:sz="0" w:space="0" w:color="auto"/>
        <w:left w:val="none" w:sz="0" w:space="0" w:color="auto"/>
        <w:bottom w:val="none" w:sz="0" w:space="0" w:color="auto"/>
        <w:right w:val="none" w:sz="0" w:space="0" w:color="auto"/>
      </w:divBdr>
    </w:div>
    <w:div w:id="1043989376">
      <w:bodyDiv w:val="1"/>
      <w:marLeft w:val="0"/>
      <w:marRight w:val="0"/>
      <w:marTop w:val="0"/>
      <w:marBottom w:val="0"/>
      <w:divBdr>
        <w:top w:val="none" w:sz="0" w:space="0" w:color="auto"/>
        <w:left w:val="none" w:sz="0" w:space="0" w:color="auto"/>
        <w:bottom w:val="none" w:sz="0" w:space="0" w:color="auto"/>
        <w:right w:val="none" w:sz="0" w:space="0" w:color="auto"/>
      </w:divBdr>
      <w:divsChild>
        <w:div w:id="370691429">
          <w:marLeft w:val="0"/>
          <w:marRight w:val="0"/>
          <w:marTop w:val="0"/>
          <w:marBottom w:val="0"/>
          <w:divBdr>
            <w:top w:val="none" w:sz="0" w:space="0" w:color="auto"/>
            <w:left w:val="none" w:sz="0" w:space="0" w:color="auto"/>
            <w:bottom w:val="none" w:sz="0" w:space="0" w:color="auto"/>
            <w:right w:val="none" w:sz="0" w:space="0" w:color="auto"/>
          </w:divBdr>
        </w:div>
      </w:divsChild>
    </w:div>
    <w:div w:id="1045720977">
      <w:bodyDiv w:val="1"/>
      <w:marLeft w:val="0"/>
      <w:marRight w:val="0"/>
      <w:marTop w:val="0"/>
      <w:marBottom w:val="0"/>
      <w:divBdr>
        <w:top w:val="none" w:sz="0" w:space="0" w:color="auto"/>
        <w:left w:val="none" w:sz="0" w:space="0" w:color="auto"/>
        <w:bottom w:val="none" w:sz="0" w:space="0" w:color="auto"/>
        <w:right w:val="none" w:sz="0" w:space="0" w:color="auto"/>
      </w:divBdr>
      <w:divsChild>
        <w:div w:id="716467009">
          <w:marLeft w:val="0"/>
          <w:marRight w:val="0"/>
          <w:marTop w:val="0"/>
          <w:marBottom w:val="0"/>
          <w:divBdr>
            <w:top w:val="none" w:sz="0" w:space="0" w:color="auto"/>
            <w:left w:val="none" w:sz="0" w:space="0" w:color="auto"/>
            <w:bottom w:val="none" w:sz="0" w:space="0" w:color="auto"/>
            <w:right w:val="none" w:sz="0" w:space="0" w:color="auto"/>
          </w:divBdr>
        </w:div>
      </w:divsChild>
    </w:div>
    <w:div w:id="1047415841">
      <w:bodyDiv w:val="1"/>
      <w:marLeft w:val="0"/>
      <w:marRight w:val="0"/>
      <w:marTop w:val="0"/>
      <w:marBottom w:val="0"/>
      <w:divBdr>
        <w:top w:val="none" w:sz="0" w:space="0" w:color="auto"/>
        <w:left w:val="none" w:sz="0" w:space="0" w:color="auto"/>
        <w:bottom w:val="none" w:sz="0" w:space="0" w:color="auto"/>
        <w:right w:val="none" w:sz="0" w:space="0" w:color="auto"/>
      </w:divBdr>
      <w:divsChild>
        <w:div w:id="340086904">
          <w:marLeft w:val="0"/>
          <w:marRight w:val="0"/>
          <w:marTop w:val="0"/>
          <w:marBottom w:val="0"/>
          <w:divBdr>
            <w:top w:val="none" w:sz="0" w:space="0" w:color="auto"/>
            <w:left w:val="none" w:sz="0" w:space="0" w:color="auto"/>
            <w:bottom w:val="none" w:sz="0" w:space="0" w:color="auto"/>
            <w:right w:val="none" w:sz="0" w:space="0" w:color="auto"/>
          </w:divBdr>
        </w:div>
      </w:divsChild>
    </w:div>
    <w:div w:id="1049300314">
      <w:bodyDiv w:val="1"/>
      <w:marLeft w:val="0"/>
      <w:marRight w:val="0"/>
      <w:marTop w:val="0"/>
      <w:marBottom w:val="0"/>
      <w:divBdr>
        <w:top w:val="none" w:sz="0" w:space="0" w:color="auto"/>
        <w:left w:val="none" w:sz="0" w:space="0" w:color="auto"/>
        <w:bottom w:val="none" w:sz="0" w:space="0" w:color="auto"/>
        <w:right w:val="none" w:sz="0" w:space="0" w:color="auto"/>
      </w:divBdr>
      <w:divsChild>
        <w:div w:id="258218738">
          <w:marLeft w:val="0"/>
          <w:marRight w:val="0"/>
          <w:marTop w:val="0"/>
          <w:marBottom w:val="0"/>
          <w:divBdr>
            <w:top w:val="none" w:sz="0" w:space="0" w:color="auto"/>
            <w:left w:val="none" w:sz="0" w:space="0" w:color="auto"/>
            <w:bottom w:val="none" w:sz="0" w:space="0" w:color="auto"/>
            <w:right w:val="none" w:sz="0" w:space="0" w:color="auto"/>
          </w:divBdr>
        </w:div>
      </w:divsChild>
    </w:div>
    <w:div w:id="1053309318">
      <w:bodyDiv w:val="1"/>
      <w:marLeft w:val="0"/>
      <w:marRight w:val="0"/>
      <w:marTop w:val="0"/>
      <w:marBottom w:val="0"/>
      <w:divBdr>
        <w:top w:val="none" w:sz="0" w:space="0" w:color="auto"/>
        <w:left w:val="none" w:sz="0" w:space="0" w:color="auto"/>
        <w:bottom w:val="none" w:sz="0" w:space="0" w:color="auto"/>
        <w:right w:val="none" w:sz="0" w:space="0" w:color="auto"/>
      </w:divBdr>
    </w:div>
    <w:div w:id="1070077919">
      <w:bodyDiv w:val="1"/>
      <w:marLeft w:val="0"/>
      <w:marRight w:val="0"/>
      <w:marTop w:val="0"/>
      <w:marBottom w:val="0"/>
      <w:divBdr>
        <w:top w:val="none" w:sz="0" w:space="0" w:color="auto"/>
        <w:left w:val="none" w:sz="0" w:space="0" w:color="auto"/>
        <w:bottom w:val="none" w:sz="0" w:space="0" w:color="auto"/>
        <w:right w:val="none" w:sz="0" w:space="0" w:color="auto"/>
      </w:divBdr>
      <w:divsChild>
        <w:div w:id="1624077335">
          <w:marLeft w:val="0"/>
          <w:marRight w:val="0"/>
          <w:marTop w:val="0"/>
          <w:marBottom w:val="0"/>
          <w:divBdr>
            <w:top w:val="none" w:sz="0" w:space="0" w:color="auto"/>
            <w:left w:val="none" w:sz="0" w:space="0" w:color="auto"/>
            <w:bottom w:val="none" w:sz="0" w:space="0" w:color="auto"/>
            <w:right w:val="none" w:sz="0" w:space="0" w:color="auto"/>
          </w:divBdr>
        </w:div>
      </w:divsChild>
    </w:div>
    <w:div w:id="1081298140">
      <w:bodyDiv w:val="1"/>
      <w:marLeft w:val="0"/>
      <w:marRight w:val="0"/>
      <w:marTop w:val="0"/>
      <w:marBottom w:val="0"/>
      <w:divBdr>
        <w:top w:val="none" w:sz="0" w:space="0" w:color="auto"/>
        <w:left w:val="none" w:sz="0" w:space="0" w:color="auto"/>
        <w:bottom w:val="none" w:sz="0" w:space="0" w:color="auto"/>
        <w:right w:val="none" w:sz="0" w:space="0" w:color="auto"/>
      </w:divBdr>
      <w:divsChild>
        <w:div w:id="2040352812">
          <w:marLeft w:val="0"/>
          <w:marRight w:val="0"/>
          <w:marTop w:val="0"/>
          <w:marBottom w:val="0"/>
          <w:divBdr>
            <w:top w:val="none" w:sz="0" w:space="0" w:color="auto"/>
            <w:left w:val="none" w:sz="0" w:space="0" w:color="auto"/>
            <w:bottom w:val="none" w:sz="0" w:space="0" w:color="auto"/>
            <w:right w:val="none" w:sz="0" w:space="0" w:color="auto"/>
          </w:divBdr>
        </w:div>
      </w:divsChild>
    </w:div>
    <w:div w:id="1094280934">
      <w:bodyDiv w:val="1"/>
      <w:marLeft w:val="0"/>
      <w:marRight w:val="0"/>
      <w:marTop w:val="0"/>
      <w:marBottom w:val="0"/>
      <w:divBdr>
        <w:top w:val="none" w:sz="0" w:space="0" w:color="auto"/>
        <w:left w:val="none" w:sz="0" w:space="0" w:color="auto"/>
        <w:bottom w:val="none" w:sz="0" w:space="0" w:color="auto"/>
        <w:right w:val="none" w:sz="0" w:space="0" w:color="auto"/>
      </w:divBdr>
      <w:divsChild>
        <w:div w:id="1060594393">
          <w:marLeft w:val="0"/>
          <w:marRight w:val="0"/>
          <w:marTop w:val="0"/>
          <w:marBottom w:val="0"/>
          <w:divBdr>
            <w:top w:val="none" w:sz="0" w:space="0" w:color="auto"/>
            <w:left w:val="none" w:sz="0" w:space="0" w:color="auto"/>
            <w:bottom w:val="none" w:sz="0" w:space="0" w:color="auto"/>
            <w:right w:val="none" w:sz="0" w:space="0" w:color="auto"/>
          </w:divBdr>
        </w:div>
      </w:divsChild>
    </w:div>
    <w:div w:id="1115707697">
      <w:bodyDiv w:val="1"/>
      <w:marLeft w:val="0"/>
      <w:marRight w:val="0"/>
      <w:marTop w:val="0"/>
      <w:marBottom w:val="0"/>
      <w:divBdr>
        <w:top w:val="none" w:sz="0" w:space="0" w:color="auto"/>
        <w:left w:val="none" w:sz="0" w:space="0" w:color="auto"/>
        <w:bottom w:val="none" w:sz="0" w:space="0" w:color="auto"/>
        <w:right w:val="none" w:sz="0" w:space="0" w:color="auto"/>
      </w:divBdr>
      <w:divsChild>
        <w:div w:id="511064733">
          <w:marLeft w:val="0"/>
          <w:marRight w:val="0"/>
          <w:marTop w:val="0"/>
          <w:marBottom w:val="0"/>
          <w:divBdr>
            <w:top w:val="none" w:sz="0" w:space="0" w:color="auto"/>
            <w:left w:val="none" w:sz="0" w:space="0" w:color="auto"/>
            <w:bottom w:val="none" w:sz="0" w:space="0" w:color="auto"/>
            <w:right w:val="none" w:sz="0" w:space="0" w:color="auto"/>
          </w:divBdr>
        </w:div>
      </w:divsChild>
    </w:div>
    <w:div w:id="1119181373">
      <w:bodyDiv w:val="1"/>
      <w:marLeft w:val="0"/>
      <w:marRight w:val="0"/>
      <w:marTop w:val="0"/>
      <w:marBottom w:val="0"/>
      <w:divBdr>
        <w:top w:val="none" w:sz="0" w:space="0" w:color="auto"/>
        <w:left w:val="none" w:sz="0" w:space="0" w:color="auto"/>
        <w:bottom w:val="none" w:sz="0" w:space="0" w:color="auto"/>
        <w:right w:val="none" w:sz="0" w:space="0" w:color="auto"/>
      </w:divBdr>
    </w:div>
    <w:div w:id="1129517915">
      <w:bodyDiv w:val="1"/>
      <w:marLeft w:val="0"/>
      <w:marRight w:val="0"/>
      <w:marTop w:val="0"/>
      <w:marBottom w:val="0"/>
      <w:divBdr>
        <w:top w:val="none" w:sz="0" w:space="0" w:color="auto"/>
        <w:left w:val="none" w:sz="0" w:space="0" w:color="auto"/>
        <w:bottom w:val="none" w:sz="0" w:space="0" w:color="auto"/>
        <w:right w:val="none" w:sz="0" w:space="0" w:color="auto"/>
      </w:divBdr>
    </w:div>
    <w:div w:id="1129590623">
      <w:bodyDiv w:val="1"/>
      <w:marLeft w:val="0"/>
      <w:marRight w:val="0"/>
      <w:marTop w:val="0"/>
      <w:marBottom w:val="0"/>
      <w:divBdr>
        <w:top w:val="none" w:sz="0" w:space="0" w:color="auto"/>
        <w:left w:val="none" w:sz="0" w:space="0" w:color="auto"/>
        <w:bottom w:val="none" w:sz="0" w:space="0" w:color="auto"/>
        <w:right w:val="none" w:sz="0" w:space="0" w:color="auto"/>
      </w:divBdr>
      <w:divsChild>
        <w:div w:id="1883444023">
          <w:marLeft w:val="0"/>
          <w:marRight w:val="0"/>
          <w:marTop w:val="0"/>
          <w:marBottom w:val="0"/>
          <w:divBdr>
            <w:top w:val="none" w:sz="0" w:space="0" w:color="auto"/>
            <w:left w:val="none" w:sz="0" w:space="0" w:color="auto"/>
            <w:bottom w:val="none" w:sz="0" w:space="0" w:color="auto"/>
            <w:right w:val="none" w:sz="0" w:space="0" w:color="auto"/>
          </w:divBdr>
        </w:div>
      </w:divsChild>
    </w:div>
    <w:div w:id="1129974293">
      <w:bodyDiv w:val="1"/>
      <w:marLeft w:val="0"/>
      <w:marRight w:val="0"/>
      <w:marTop w:val="0"/>
      <w:marBottom w:val="0"/>
      <w:divBdr>
        <w:top w:val="none" w:sz="0" w:space="0" w:color="auto"/>
        <w:left w:val="none" w:sz="0" w:space="0" w:color="auto"/>
        <w:bottom w:val="none" w:sz="0" w:space="0" w:color="auto"/>
        <w:right w:val="none" w:sz="0" w:space="0" w:color="auto"/>
      </w:divBdr>
    </w:div>
    <w:div w:id="1132139053">
      <w:bodyDiv w:val="1"/>
      <w:marLeft w:val="0"/>
      <w:marRight w:val="0"/>
      <w:marTop w:val="0"/>
      <w:marBottom w:val="0"/>
      <w:divBdr>
        <w:top w:val="none" w:sz="0" w:space="0" w:color="auto"/>
        <w:left w:val="none" w:sz="0" w:space="0" w:color="auto"/>
        <w:bottom w:val="none" w:sz="0" w:space="0" w:color="auto"/>
        <w:right w:val="none" w:sz="0" w:space="0" w:color="auto"/>
      </w:divBdr>
    </w:div>
    <w:div w:id="1134105257">
      <w:bodyDiv w:val="1"/>
      <w:marLeft w:val="0"/>
      <w:marRight w:val="0"/>
      <w:marTop w:val="0"/>
      <w:marBottom w:val="0"/>
      <w:divBdr>
        <w:top w:val="none" w:sz="0" w:space="0" w:color="auto"/>
        <w:left w:val="none" w:sz="0" w:space="0" w:color="auto"/>
        <w:bottom w:val="none" w:sz="0" w:space="0" w:color="auto"/>
        <w:right w:val="none" w:sz="0" w:space="0" w:color="auto"/>
      </w:divBdr>
      <w:divsChild>
        <w:div w:id="1227377691">
          <w:marLeft w:val="0"/>
          <w:marRight w:val="0"/>
          <w:marTop w:val="0"/>
          <w:marBottom w:val="0"/>
          <w:divBdr>
            <w:top w:val="none" w:sz="0" w:space="0" w:color="auto"/>
            <w:left w:val="none" w:sz="0" w:space="0" w:color="auto"/>
            <w:bottom w:val="none" w:sz="0" w:space="0" w:color="auto"/>
            <w:right w:val="none" w:sz="0" w:space="0" w:color="auto"/>
          </w:divBdr>
        </w:div>
      </w:divsChild>
    </w:div>
    <w:div w:id="1137530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6821">
          <w:marLeft w:val="0"/>
          <w:marRight w:val="0"/>
          <w:marTop w:val="0"/>
          <w:marBottom w:val="0"/>
          <w:divBdr>
            <w:top w:val="none" w:sz="0" w:space="0" w:color="auto"/>
            <w:left w:val="none" w:sz="0" w:space="0" w:color="auto"/>
            <w:bottom w:val="none" w:sz="0" w:space="0" w:color="auto"/>
            <w:right w:val="none" w:sz="0" w:space="0" w:color="auto"/>
          </w:divBdr>
        </w:div>
      </w:divsChild>
    </w:div>
    <w:div w:id="1141574482">
      <w:bodyDiv w:val="1"/>
      <w:marLeft w:val="0"/>
      <w:marRight w:val="0"/>
      <w:marTop w:val="0"/>
      <w:marBottom w:val="0"/>
      <w:divBdr>
        <w:top w:val="none" w:sz="0" w:space="0" w:color="auto"/>
        <w:left w:val="none" w:sz="0" w:space="0" w:color="auto"/>
        <w:bottom w:val="none" w:sz="0" w:space="0" w:color="auto"/>
        <w:right w:val="none" w:sz="0" w:space="0" w:color="auto"/>
      </w:divBdr>
    </w:div>
    <w:div w:id="1153958146">
      <w:bodyDiv w:val="1"/>
      <w:marLeft w:val="0"/>
      <w:marRight w:val="0"/>
      <w:marTop w:val="0"/>
      <w:marBottom w:val="0"/>
      <w:divBdr>
        <w:top w:val="none" w:sz="0" w:space="0" w:color="auto"/>
        <w:left w:val="none" w:sz="0" w:space="0" w:color="auto"/>
        <w:bottom w:val="none" w:sz="0" w:space="0" w:color="auto"/>
        <w:right w:val="none" w:sz="0" w:space="0" w:color="auto"/>
      </w:divBdr>
      <w:divsChild>
        <w:div w:id="2122262849">
          <w:marLeft w:val="0"/>
          <w:marRight w:val="0"/>
          <w:marTop w:val="0"/>
          <w:marBottom w:val="0"/>
          <w:divBdr>
            <w:top w:val="none" w:sz="0" w:space="0" w:color="auto"/>
            <w:left w:val="none" w:sz="0" w:space="0" w:color="auto"/>
            <w:bottom w:val="none" w:sz="0" w:space="0" w:color="auto"/>
            <w:right w:val="none" w:sz="0" w:space="0" w:color="auto"/>
          </w:divBdr>
        </w:div>
      </w:divsChild>
    </w:div>
    <w:div w:id="1156342512">
      <w:bodyDiv w:val="1"/>
      <w:marLeft w:val="0"/>
      <w:marRight w:val="0"/>
      <w:marTop w:val="0"/>
      <w:marBottom w:val="0"/>
      <w:divBdr>
        <w:top w:val="none" w:sz="0" w:space="0" w:color="auto"/>
        <w:left w:val="none" w:sz="0" w:space="0" w:color="auto"/>
        <w:bottom w:val="none" w:sz="0" w:space="0" w:color="auto"/>
        <w:right w:val="none" w:sz="0" w:space="0" w:color="auto"/>
      </w:divBdr>
    </w:div>
    <w:div w:id="1157383684">
      <w:bodyDiv w:val="1"/>
      <w:marLeft w:val="0"/>
      <w:marRight w:val="0"/>
      <w:marTop w:val="0"/>
      <w:marBottom w:val="0"/>
      <w:divBdr>
        <w:top w:val="none" w:sz="0" w:space="0" w:color="auto"/>
        <w:left w:val="none" w:sz="0" w:space="0" w:color="auto"/>
        <w:bottom w:val="none" w:sz="0" w:space="0" w:color="auto"/>
        <w:right w:val="none" w:sz="0" w:space="0" w:color="auto"/>
      </w:divBdr>
      <w:divsChild>
        <w:div w:id="337655467">
          <w:marLeft w:val="0"/>
          <w:marRight w:val="0"/>
          <w:marTop w:val="0"/>
          <w:marBottom w:val="0"/>
          <w:divBdr>
            <w:top w:val="none" w:sz="0" w:space="0" w:color="auto"/>
            <w:left w:val="none" w:sz="0" w:space="0" w:color="auto"/>
            <w:bottom w:val="none" w:sz="0" w:space="0" w:color="auto"/>
            <w:right w:val="none" w:sz="0" w:space="0" w:color="auto"/>
          </w:divBdr>
        </w:div>
      </w:divsChild>
    </w:div>
    <w:div w:id="1161584884">
      <w:bodyDiv w:val="1"/>
      <w:marLeft w:val="0"/>
      <w:marRight w:val="0"/>
      <w:marTop w:val="0"/>
      <w:marBottom w:val="0"/>
      <w:divBdr>
        <w:top w:val="none" w:sz="0" w:space="0" w:color="auto"/>
        <w:left w:val="none" w:sz="0" w:space="0" w:color="auto"/>
        <w:bottom w:val="none" w:sz="0" w:space="0" w:color="auto"/>
        <w:right w:val="none" w:sz="0" w:space="0" w:color="auto"/>
      </w:divBdr>
    </w:div>
    <w:div w:id="1166483120">
      <w:bodyDiv w:val="1"/>
      <w:marLeft w:val="0"/>
      <w:marRight w:val="0"/>
      <w:marTop w:val="0"/>
      <w:marBottom w:val="0"/>
      <w:divBdr>
        <w:top w:val="none" w:sz="0" w:space="0" w:color="auto"/>
        <w:left w:val="none" w:sz="0" w:space="0" w:color="auto"/>
        <w:bottom w:val="none" w:sz="0" w:space="0" w:color="auto"/>
        <w:right w:val="none" w:sz="0" w:space="0" w:color="auto"/>
      </w:divBdr>
      <w:divsChild>
        <w:div w:id="1213543936">
          <w:marLeft w:val="0"/>
          <w:marRight w:val="0"/>
          <w:marTop w:val="0"/>
          <w:marBottom w:val="0"/>
          <w:divBdr>
            <w:top w:val="none" w:sz="0" w:space="0" w:color="auto"/>
            <w:left w:val="none" w:sz="0" w:space="0" w:color="auto"/>
            <w:bottom w:val="none" w:sz="0" w:space="0" w:color="auto"/>
            <w:right w:val="none" w:sz="0" w:space="0" w:color="auto"/>
          </w:divBdr>
        </w:div>
      </w:divsChild>
    </w:div>
    <w:div w:id="1174614662">
      <w:bodyDiv w:val="1"/>
      <w:marLeft w:val="0"/>
      <w:marRight w:val="0"/>
      <w:marTop w:val="0"/>
      <w:marBottom w:val="0"/>
      <w:divBdr>
        <w:top w:val="none" w:sz="0" w:space="0" w:color="auto"/>
        <w:left w:val="none" w:sz="0" w:space="0" w:color="auto"/>
        <w:bottom w:val="none" w:sz="0" w:space="0" w:color="auto"/>
        <w:right w:val="none" w:sz="0" w:space="0" w:color="auto"/>
      </w:divBdr>
    </w:div>
    <w:div w:id="1180969033">
      <w:bodyDiv w:val="1"/>
      <w:marLeft w:val="0"/>
      <w:marRight w:val="0"/>
      <w:marTop w:val="0"/>
      <w:marBottom w:val="0"/>
      <w:divBdr>
        <w:top w:val="none" w:sz="0" w:space="0" w:color="auto"/>
        <w:left w:val="none" w:sz="0" w:space="0" w:color="auto"/>
        <w:bottom w:val="none" w:sz="0" w:space="0" w:color="auto"/>
        <w:right w:val="none" w:sz="0" w:space="0" w:color="auto"/>
      </w:divBdr>
      <w:divsChild>
        <w:div w:id="1621836546">
          <w:marLeft w:val="0"/>
          <w:marRight w:val="0"/>
          <w:marTop w:val="0"/>
          <w:marBottom w:val="0"/>
          <w:divBdr>
            <w:top w:val="none" w:sz="0" w:space="0" w:color="auto"/>
            <w:left w:val="none" w:sz="0" w:space="0" w:color="auto"/>
            <w:bottom w:val="none" w:sz="0" w:space="0" w:color="auto"/>
            <w:right w:val="none" w:sz="0" w:space="0" w:color="auto"/>
          </w:divBdr>
        </w:div>
      </w:divsChild>
    </w:div>
    <w:div w:id="1188521279">
      <w:bodyDiv w:val="1"/>
      <w:marLeft w:val="0"/>
      <w:marRight w:val="0"/>
      <w:marTop w:val="0"/>
      <w:marBottom w:val="0"/>
      <w:divBdr>
        <w:top w:val="none" w:sz="0" w:space="0" w:color="auto"/>
        <w:left w:val="none" w:sz="0" w:space="0" w:color="auto"/>
        <w:bottom w:val="none" w:sz="0" w:space="0" w:color="auto"/>
        <w:right w:val="none" w:sz="0" w:space="0" w:color="auto"/>
      </w:divBdr>
      <w:divsChild>
        <w:div w:id="1618221476">
          <w:marLeft w:val="0"/>
          <w:marRight w:val="0"/>
          <w:marTop w:val="0"/>
          <w:marBottom w:val="0"/>
          <w:divBdr>
            <w:top w:val="none" w:sz="0" w:space="0" w:color="auto"/>
            <w:left w:val="none" w:sz="0" w:space="0" w:color="auto"/>
            <w:bottom w:val="none" w:sz="0" w:space="0" w:color="auto"/>
            <w:right w:val="none" w:sz="0" w:space="0" w:color="auto"/>
          </w:divBdr>
        </w:div>
      </w:divsChild>
    </w:div>
    <w:div w:id="1193810805">
      <w:bodyDiv w:val="1"/>
      <w:marLeft w:val="0"/>
      <w:marRight w:val="0"/>
      <w:marTop w:val="0"/>
      <w:marBottom w:val="0"/>
      <w:divBdr>
        <w:top w:val="none" w:sz="0" w:space="0" w:color="auto"/>
        <w:left w:val="none" w:sz="0" w:space="0" w:color="auto"/>
        <w:bottom w:val="none" w:sz="0" w:space="0" w:color="auto"/>
        <w:right w:val="none" w:sz="0" w:space="0" w:color="auto"/>
      </w:divBdr>
      <w:divsChild>
        <w:div w:id="377826592">
          <w:marLeft w:val="0"/>
          <w:marRight w:val="0"/>
          <w:marTop w:val="0"/>
          <w:marBottom w:val="0"/>
          <w:divBdr>
            <w:top w:val="none" w:sz="0" w:space="0" w:color="auto"/>
            <w:left w:val="none" w:sz="0" w:space="0" w:color="auto"/>
            <w:bottom w:val="none" w:sz="0" w:space="0" w:color="auto"/>
            <w:right w:val="none" w:sz="0" w:space="0" w:color="auto"/>
          </w:divBdr>
        </w:div>
      </w:divsChild>
    </w:div>
    <w:div w:id="1198352663">
      <w:bodyDiv w:val="1"/>
      <w:marLeft w:val="0"/>
      <w:marRight w:val="0"/>
      <w:marTop w:val="0"/>
      <w:marBottom w:val="0"/>
      <w:divBdr>
        <w:top w:val="none" w:sz="0" w:space="0" w:color="auto"/>
        <w:left w:val="none" w:sz="0" w:space="0" w:color="auto"/>
        <w:bottom w:val="none" w:sz="0" w:space="0" w:color="auto"/>
        <w:right w:val="none" w:sz="0" w:space="0" w:color="auto"/>
      </w:divBdr>
      <w:divsChild>
        <w:div w:id="893590708">
          <w:marLeft w:val="0"/>
          <w:marRight w:val="0"/>
          <w:marTop w:val="0"/>
          <w:marBottom w:val="0"/>
          <w:divBdr>
            <w:top w:val="none" w:sz="0" w:space="0" w:color="auto"/>
            <w:left w:val="none" w:sz="0" w:space="0" w:color="auto"/>
            <w:bottom w:val="none" w:sz="0" w:space="0" w:color="auto"/>
            <w:right w:val="none" w:sz="0" w:space="0" w:color="auto"/>
          </w:divBdr>
        </w:div>
      </w:divsChild>
    </w:div>
    <w:div w:id="1215584465">
      <w:bodyDiv w:val="1"/>
      <w:marLeft w:val="0"/>
      <w:marRight w:val="0"/>
      <w:marTop w:val="0"/>
      <w:marBottom w:val="0"/>
      <w:divBdr>
        <w:top w:val="none" w:sz="0" w:space="0" w:color="auto"/>
        <w:left w:val="none" w:sz="0" w:space="0" w:color="auto"/>
        <w:bottom w:val="none" w:sz="0" w:space="0" w:color="auto"/>
        <w:right w:val="none" w:sz="0" w:space="0" w:color="auto"/>
      </w:divBdr>
      <w:divsChild>
        <w:div w:id="698622260">
          <w:marLeft w:val="0"/>
          <w:marRight w:val="0"/>
          <w:marTop w:val="0"/>
          <w:marBottom w:val="0"/>
          <w:divBdr>
            <w:top w:val="none" w:sz="0" w:space="0" w:color="auto"/>
            <w:left w:val="none" w:sz="0" w:space="0" w:color="auto"/>
            <w:bottom w:val="none" w:sz="0" w:space="0" w:color="auto"/>
            <w:right w:val="none" w:sz="0" w:space="0" w:color="auto"/>
          </w:divBdr>
        </w:div>
      </w:divsChild>
    </w:div>
    <w:div w:id="1225987741">
      <w:bodyDiv w:val="1"/>
      <w:marLeft w:val="0"/>
      <w:marRight w:val="0"/>
      <w:marTop w:val="0"/>
      <w:marBottom w:val="0"/>
      <w:divBdr>
        <w:top w:val="none" w:sz="0" w:space="0" w:color="auto"/>
        <w:left w:val="none" w:sz="0" w:space="0" w:color="auto"/>
        <w:bottom w:val="none" w:sz="0" w:space="0" w:color="auto"/>
        <w:right w:val="none" w:sz="0" w:space="0" w:color="auto"/>
      </w:divBdr>
    </w:div>
    <w:div w:id="1228028871">
      <w:bodyDiv w:val="1"/>
      <w:marLeft w:val="0"/>
      <w:marRight w:val="0"/>
      <w:marTop w:val="0"/>
      <w:marBottom w:val="0"/>
      <w:divBdr>
        <w:top w:val="none" w:sz="0" w:space="0" w:color="auto"/>
        <w:left w:val="none" w:sz="0" w:space="0" w:color="auto"/>
        <w:bottom w:val="none" w:sz="0" w:space="0" w:color="auto"/>
        <w:right w:val="none" w:sz="0" w:space="0" w:color="auto"/>
      </w:divBdr>
      <w:divsChild>
        <w:div w:id="939340428">
          <w:marLeft w:val="0"/>
          <w:marRight w:val="0"/>
          <w:marTop w:val="0"/>
          <w:marBottom w:val="0"/>
          <w:divBdr>
            <w:top w:val="none" w:sz="0" w:space="0" w:color="auto"/>
            <w:left w:val="none" w:sz="0" w:space="0" w:color="auto"/>
            <w:bottom w:val="none" w:sz="0" w:space="0" w:color="auto"/>
            <w:right w:val="none" w:sz="0" w:space="0" w:color="auto"/>
          </w:divBdr>
        </w:div>
      </w:divsChild>
    </w:div>
    <w:div w:id="1255046883">
      <w:bodyDiv w:val="1"/>
      <w:marLeft w:val="0"/>
      <w:marRight w:val="0"/>
      <w:marTop w:val="0"/>
      <w:marBottom w:val="0"/>
      <w:divBdr>
        <w:top w:val="none" w:sz="0" w:space="0" w:color="auto"/>
        <w:left w:val="none" w:sz="0" w:space="0" w:color="auto"/>
        <w:bottom w:val="none" w:sz="0" w:space="0" w:color="auto"/>
        <w:right w:val="none" w:sz="0" w:space="0" w:color="auto"/>
      </w:divBdr>
      <w:divsChild>
        <w:div w:id="2011522784">
          <w:marLeft w:val="0"/>
          <w:marRight w:val="0"/>
          <w:marTop w:val="0"/>
          <w:marBottom w:val="0"/>
          <w:divBdr>
            <w:top w:val="none" w:sz="0" w:space="0" w:color="auto"/>
            <w:left w:val="none" w:sz="0" w:space="0" w:color="auto"/>
            <w:bottom w:val="none" w:sz="0" w:space="0" w:color="auto"/>
            <w:right w:val="none" w:sz="0" w:space="0" w:color="auto"/>
          </w:divBdr>
        </w:div>
      </w:divsChild>
    </w:div>
    <w:div w:id="1262956586">
      <w:bodyDiv w:val="1"/>
      <w:marLeft w:val="0"/>
      <w:marRight w:val="0"/>
      <w:marTop w:val="0"/>
      <w:marBottom w:val="0"/>
      <w:divBdr>
        <w:top w:val="none" w:sz="0" w:space="0" w:color="auto"/>
        <w:left w:val="none" w:sz="0" w:space="0" w:color="auto"/>
        <w:bottom w:val="none" w:sz="0" w:space="0" w:color="auto"/>
        <w:right w:val="none" w:sz="0" w:space="0" w:color="auto"/>
      </w:divBdr>
      <w:divsChild>
        <w:div w:id="343243516">
          <w:marLeft w:val="0"/>
          <w:marRight w:val="0"/>
          <w:marTop w:val="0"/>
          <w:marBottom w:val="0"/>
          <w:divBdr>
            <w:top w:val="none" w:sz="0" w:space="0" w:color="auto"/>
            <w:left w:val="none" w:sz="0" w:space="0" w:color="auto"/>
            <w:bottom w:val="none" w:sz="0" w:space="0" w:color="auto"/>
            <w:right w:val="none" w:sz="0" w:space="0" w:color="auto"/>
          </w:divBdr>
        </w:div>
      </w:divsChild>
    </w:div>
    <w:div w:id="1277328126">
      <w:bodyDiv w:val="1"/>
      <w:marLeft w:val="0"/>
      <w:marRight w:val="0"/>
      <w:marTop w:val="0"/>
      <w:marBottom w:val="0"/>
      <w:divBdr>
        <w:top w:val="none" w:sz="0" w:space="0" w:color="auto"/>
        <w:left w:val="none" w:sz="0" w:space="0" w:color="auto"/>
        <w:bottom w:val="none" w:sz="0" w:space="0" w:color="auto"/>
        <w:right w:val="none" w:sz="0" w:space="0" w:color="auto"/>
      </w:divBdr>
      <w:divsChild>
        <w:div w:id="906765700">
          <w:marLeft w:val="0"/>
          <w:marRight w:val="0"/>
          <w:marTop w:val="0"/>
          <w:marBottom w:val="0"/>
          <w:divBdr>
            <w:top w:val="none" w:sz="0" w:space="0" w:color="auto"/>
            <w:left w:val="none" w:sz="0" w:space="0" w:color="auto"/>
            <w:bottom w:val="none" w:sz="0" w:space="0" w:color="auto"/>
            <w:right w:val="none" w:sz="0" w:space="0" w:color="auto"/>
          </w:divBdr>
        </w:div>
      </w:divsChild>
    </w:div>
    <w:div w:id="1299262309">
      <w:bodyDiv w:val="1"/>
      <w:marLeft w:val="0"/>
      <w:marRight w:val="0"/>
      <w:marTop w:val="0"/>
      <w:marBottom w:val="0"/>
      <w:divBdr>
        <w:top w:val="none" w:sz="0" w:space="0" w:color="auto"/>
        <w:left w:val="none" w:sz="0" w:space="0" w:color="auto"/>
        <w:bottom w:val="none" w:sz="0" w:space="0" w:color="auto"/>
        <w:right w:val="none" w:sz="0" w:space="0" w:color="auto"/>
      </w:divBdr>
      <w:divsChild>
        <w:div w:id="2133354248">
          <w:marLeft w:val="0"/>
          <w:marRight w:val="0"/>
          <w:marTop w:val="0"/>
          <w:marBottom w:val="0"/>
          <w:divBdr>
            <w:top w:val="none" w:sz="0" w:space="0" w:color="auto"/>
            <w:left w:val="none" w:sz="0" w:space="0" w:color="auto"/>
            <w:bottom w:val="none" w:sz="0" w:space="0" w:color="auto"/>
            <w:right w:val="none" w:sz="0" w:space="0" w:color="auto"/>
          </w:divBdr>
        </w:div>
      </w:divsChild>
    </w:div>
    <w:div w:id="1305620260">
      <w:bodyDiv w:val="1"/>
      <w:marLeft w:val="0"/>
      <w:marRight w:val="0"/>
      <w:marTop w:val="0"/>
      <w:marBottom w:val="0"/>
      <w:divBdr>
        <w:top w:val="none" w:sz="0" w:space="0" w:color="auto"/>
        <w:left w:val="none" w:sz="0" w:space="0" w:color="auto"/>
        <w:bottom w:val="none" w:sz="0" w:space="0" w:color="auto"/>
        <w:right w:val="none" w:sz="0" w:space="0" w:color="auto"/>
      </w:divBdr>
      <w:divsChild>
        <w:div w:id="826436359">
          <w:marLeft w:val="0"/>
          <w:marRight w:val="0"/>
          <w:marTop w:val="0"/>
          <w:marBottom w:val="0"/>
          <w:divBdr>
            <w:top w:val="none" w:sz="0" w:space="0" w:color="auto"/>
            <w:left w:val="none" w:sz="0" w:space="0" w:color="auto"/>
            <w:bottom w:val="none" w:sz="0" w:space="0" w:color="auto"/>
            <w:right w:val="none" w:sz="0" w:space="0" w:color="auto"/>
          </w:divBdr>
          <w:divsChild>
            <w:div w:id="1216312177">
              <w:marLeft w:val="0"/>
              <w:marRight w:val="0"/>
              <w:marTop w:val="0"/>
              <w:marBottom w:val="0"/>
              <w:divBdr>
                <w:top w:val="none" w:sz="0" w:space="0" w:color="auto"/>
                <w:left w:val="none" w:sz="0" w:space="0" w:color="auto"/>
                <w:bottom w:val="none" w:sz="0" w:space="0" w:color="auto"/>
                <w:right w:val="none" w:sz="0" w:space="0" w:color="auto"/>
              </w:divBdr>
            </w:div>
            <w:div w:id="1912351231">
              <w:marLeft w:val="0"/>
              <w:marRight w:val="0"/>
              <w:marTop w:val="0"/>
              <w:marBottom w:val="0"/>
              <w:divBdr>
                <w:top w:val="none" w:sz="0" w:space="0" w:color="auto"/>
                <w:left w:val="none" w:sz="0" w:space="0" w:color="auto"/>
                <w:bottom w:val="none" w:sz="0" w:space="0" w:color="auto"/>
                <w:right w:val="none" w:sz="0" w:space="0" w:color="auto"/>
              </w:divBdr>
            </w:div>
            <w:div w:id="516701912">
              <w:marLeft w:val="0"/>
              <w:marRight w:val="0"/>
              <w:marTop w:val="0"/>
              <w:marBottom w:val="0"/>
              <w:divBdr>
                <w:top w:val="none" w:sz="0" w:space="0" w:color="auto"/>
                <w:left w:val="none" w:sz="0" w:space="0" w:color="auto"/>
                <w:bottom w:val="none" w:sz="0" w:space="0" w:color="auto"/>
                <w:right w:val="none" w:sz="0" w:space="0" w:color="auto"/>
              </w:divBdr>
            </w:div>
            <w:div w:id="2033071780">
              <w:marLeft w:val="0"/>
              <w:marRight w:val="0"/>
              <w:marTop w:val="0"/>
              <w:marBottom w:val="0"/>
              <w:divBdr>
                <w:top w:val="none" w:sz="0" w:space="0" w:color="auto"/>
                <w:left w:val="none" w:sz="0" w:space="0" w:color="auto"/>
                <w:bottom w:val="none" w:sz="0" w:space="0" w:color="auto"/>
                <w:right w:val="none" w:sz="0" w:space="0" w:color="auto"/>
              </w:divBdr>
            </w:div>
            <w:div w:id="1085683887">
              <w:marLeft w:val="0"/>
              <w:marRight w:val="0"/>
              <w:marTop w:val="0"/>
              <w:marBottom w:val="0"/>
              <w:divBdr>
                <w:top w:val="none" w:sz="0" w:space="0" w:color="auto"/>
                <w:left w:val="none" w:sz="0" w:space="0" w:color="auto"/>
                <w:bottom w:val="none" w:sz="0" w:space="0" w:color="auto"/>
                <w:right w:val="none" w:sz="0" w:space="0" w:color="auto"/>
              </w:divBdr>
            </w:div>
            <w:div w:id="791484363">
              <w:marLeft w:val="0"/>
              <w:marRight w:val="0"/>
              <w:marTop w:val="0"/>
              <w:marBottom w:val="0"/>
              <w:divBdr>
                <w:top w:val="none" w:sz="0" w:space="0" w:color="auto"/>
                <w:left w:val="none" w:sz="0" w:space="0" w:color="auto"/>
                <w:bottom w:val="none" w:sz="0" w:space="0" w:color="auto"/>
                <w:right w:val="none" w:sz="0" w:space="0" w:color="auto"/>
              </w:divBdr>
            </w:div>
            <w:div w:id="1525632856">
              <w:marLeft w:val="0"/>
              <w:marRight w:val="0"/>
              <w:marTop w:val="0"/>
              <w:marBottom w:val="0"/>
              <w:divBdr>
                <w:top w:val="none" w:sz="0" w:space="0" w:color="auto"/>
                <w:left w:val="none" w:sz="0" w:space="0" w:color="auto"/>
                <w:bottom w:val="none" w:sz="0" w:space="0" w:color="auto"/>
                <w:right w:val="none" w:sz="0" w:space="0" w:color="auto"/>
              </w:divBdr>
            </w:div>
            <w:div w:id="2066097360">
              <w:marLeft w:val="0"/>
              <w:marRight w:val="0"/>
              <w:marTop w:val="0"/>
              <w:marBottom w:val="0"/>
              <w:divBdr>
                <w:top w:val="none" w:sz="0" w:space="0" w:color="auto"/>
                <w:left w:val="none" w:sz="0" w:space="0" w:color="auto"/>
                <w:bottom w:val="none" w:sz="0" w:space="0" w:color="auto"/>
                <w:right w:val="none" w:sz="0" w:space="0" w:color="auto"/>
              </w:divBdr>
            </w:div>
            <w:div w:id="642388129">
              <w:marLeft w:val="0"/>
              <w:marRight w:val="0"/>
              <w:marTop w:val="0"/>
              <w:marBottom w:val="0"/>
              <w:divBdr>
                <w:top w:val="none" w:sz="0" w:space="0" w:color="auto"/>
                <w:left w:val="none" w:sz="0" w:space="0" w:color="auto"/>
                <w:bottom w:val="none" w:sz="0" w:space="0" w:color="auto"/>
                <w:right w:val="none" w:sz="0" w:space="0" w:color="auto"/>
              </w:divBdr>
            </w:div>
            <w:div w:id="808286929">
              <w:marLeft w:val="0"/>
              <w:marRight w:val="0"/>
              <w:marTop w:val="0"/>
              <w:marBottom w:val="0"/>
              <w:divBdr>
                <w:top w:val="none" w:sz="0" w:space="0" w:color="auto"/>
                <w:left w:val="none" w:sz="0" w:space="0" w:color="auto"/>
                <w:bottom w:val="none" w:sz="0" w:space="0" w:color="auto"/>
                <w:right w:val="none" w:sz="0" w:space="0" w:color="auto"/>
              </w:divBdr>
            </w:div>
            <w:div w:id="746533681">
              <w:marLeft w:val="0"/>
              <w:marRight w:val="0"/>
              <w:marTop w:val="0"/>
              <w:marBottom w:val="0"/>
              <w:divBdr>
                <w:top w:val="none" w:sz="0" w:space="0" w:color="auto"/>
                <w:left w:val="none" w:sz="0" w:space="0" w:color="auto"/>
                <w:bottom w:val="none" w:sz="0" w:space="0" w:color="auto"/>
                <w:right w:val="none" w:sz="0" w:space="0" w:color="auto"/>
              </w:divBdr>
            </w:div>
            <w:div w:id="1185904880">
              <w:marLeft w:val="0"/>
              <w:marRight w:val="0"/>
              <w:marTop w:val="0"/>
              <w:marBottom w:val="0"/>
              <w:divBdr>
                <w:top w:val="none" w:sz="0" w:space="0" w:color="auto"/>
                <w:left w:val="none" w:sz="0" w:space="0" w:color="auto"/>
                <w:bottom w:val="none" w:sz="0" w:space="0" w:color="auto"/>
                <w:right w:val="none" w:sz="0" w:space="0" w:color="auto"/>
              </w:divBdr>
            </w:div>
          </w:divsChild>
        </w:div>
        <w:div w:id="1916086135">
          <w:marLeft w:val="0"/>
          <w:marRight w:val="0"/>
          <w:marTop w:val="0"/>
          <w:marBottom w:val="0"/>
          <w:divBdr>
            <w:top w:val="none" w:sz="0" w:space="0" w:color="auto"/>
            <w:left w:val="none" w:sz="0" w:space="0" w:color="auto"/>
            <w:bottom w:val="none" w:sz="0" w:space="0" w:color="auto"/>
            <w:right w:val="none" w:sz="0" w:space="0" w:color="auto"/>
          </w:divBdr>
          <w:divsChild>
            <w:div w:id="1013265102">
              <w:marLeft w:val="0"/>
              <w:marRight w:val="0"/>
              <w:marTop w:val="0"/>
              <w:marBottom w:val="0"/>
              <w:divBdr>
                <w:top w:val="none" w:sz="0" w:space="0" w:color="auto"/>
                <w:left w:val="none" w:sz="0" w:space="0" w:color="auto"/>
                <w:bottom w:val="none" w:sz="0" w:space="0" w:color="auto"/>
                <w:right w:val="none" w:sz="0" w:space="0" w:color="auto"/>
              </w:divBdr>
            </w:div>
            <w:div w:id="207307160">
              <w:marLeft w:val="0"/>
              <w:marRight w:val="0"/>
              <w:marTop w:val="0"/>
              <w:marBottom w:val="0"/>
              <w:divBdr>
                <w:top w:val="none" w:sz="0" w:space="0" w:color="auto"/>
                <w:left w:val="none" w:sz="0" w:space="0" w:color="auto"/>
                <w:bottom w:val="none" w:sz="0" w:space="0" w:color="auto"/>
                <w:right w:val="none" w:sz="0" w:space="0" w:color="auto"/>
              </w:divBdr>
            </w:div>
            <w:div w:id="211965663">
              <w:marLeft w:val="0"/>
              <w:marRight w:val="0"/>
              <w:marTop w:val="0"/>
              <w:marBottom w:val="0"/>
              <w:divBdr>
                <w:top w:val="none" w:sz="0" w:space="0" w:color="auto"/>
                <w:left w:val="none" w:sz="0" w:space="0" w:color="auto"/>
                <w:bottom w:val="none" w:sz="0" w:space="0" w:color="auto"/>
                <w:right w:val="none" w:sz="0" w:space="0" w:color="auto"/>
              </w:divBdr>
            </w:div>
            <w:div w:id="1339191573">
              <w:marLeft w:val="0"/>
              <w:marRight w:val="0"/>
              <w:marTop w:val="0"/>
              <w:marBottom w:val="0"/>
              <w:divBdr>
                <w:top w:val="none" w:sz="0" w:space="0" w:color="auto"/>
                <w:left w:val="none" w:sz="0" w:space="0" w:color="auto"/>
                <w:bottom w:val="none" w:sz="0" w:space="0" w:color="auto"/>
                <w:right w:val="none" w:sz="0" w:space="0" w:color="auto"/>
              </w:divBdr>
            </w:div>
            <w:div w:id="1058241557">
              <w:marLeft w:val="0"/>
              <w:marRight w:val="0"/>
              <w:marTop w:val="0"/>
              <w:marBottom w:val="0"/>
              <w:divBdr>
                <w:top w:val="none" w:sz="0" w:space="0" w:color="auto"/>
                <w:left w:val="none" w:sz="0" w:space="0" w:color="auto"/>
                <w:bottom w:val="none" w:sz="0" w:space="0" w:color="auto"/>
                <w:right w:val="none" w:sz="0" w:space="0" w:color="auto"/>
              </w:divBdr>
            </w:div>
            <w:div w:id="1550192289">
              <w:marLeft w:val="0"/>
              <w:marRight w:val="0"/>
              <w:marTop w:val="0"/>
              <w:marBottom w:val="0"/>
              <w:divBdr>
                <w:top w:val="none" w:sz="0" w:space="0" w:color="auto"/>
                <w:left w:val="none" w:sz="0" w:space="0" w:color="auto"/>
                <w:bottom w:val="none" w:sz="0" w:space="0" w:color="auto"/>
                <w:right w:val="none" w:sz="0" w:space="0" w:color="auto"/>
              </w:divBdr>
            </w:div>
            <w:div w:id="1575555306">
              <w:marLeft w:val="0"/>
              <w:marRight w:val="0"/>
              <w:marTop w:val="0"/>
              <w:marBottom w:val="0"/>
              <w:divBdr>
                <w:top w:val="none" w:sz="0" w:space="0" w:color="auto"/>
                <w:left w:val="none" w:sz="0" w:space="0" w:color="auto"/>
                <w:bottom w:val="none" w:sz="0" w:space="0" w:color="auto"/>
                <w:right w:val="none" w:sz="0" w:space="0" w:color="auto"/>
              </w:divBdr>
            </w:div>
            <w:div w:id="374501101">
              <w:marLeft w:val="0"/>
              <w:marRight w:val="0"/>
              <w:marTop w:val="0"/>
              <w:marBottom w:val="0"/>
              <w:divBdr>
                <w:top w:val="none" w:sz="0" w:space="0" w:color="auto"/>
                <w:left w:val="none" w:sz="0" w:space="0" w:color="auto"/>
                <w:bottom w:val="none" w:sz="0" w:space="0" w:color="auto"/>
                <w:right w:val="none" w:sz="0" w:space="0" w:color="auto"/>
              </w:divBdr>
            </w:div>
            <w:div w:id="814760649">
              <w:marLeft w:val="0"/>
              <w:marRight w:val="0"/>
              <w:marTop w:val="0"/>
              <w:marBottom w:val="0"/>
              <w:divBdr>
                <w:top w:val="none" w:sz="0" w:space="0" w:color="auto"/>
                <w:left w:val="none" w:sz="0" w:space="0" w:color="auto"/>
                <w:bottom w:val="none" w:sz="0" w:space="0" w:color="auto"/>
                <w:right w:val="none" w:sz="0" w:space="0" w:color="auto"/>
              </w:divBdr>
            </w:div>
            <w:div w:id="1167012815">
              <w:marLeft w:val="0"/>
              <w:marRight w:val="0"/>
              <w:marTop w:val="0"/>
              <w:marBottom w:val="0"/>
              <w:divBdr>
                <w:top w:val="none" w:sz="0" w:space="0" w:color="auto"/>
                <w:left w:val="none" w:sz="0" w:space="0" w:color="auto"/>
                <w:bottom w:val="none" w:sz="0" w:space="0" w:color="auto"/>
                <w:right w:val="none" w:sz="0" w:space="0" w:color="auto"/>
              </w:divBdr>
            </w:div>
            <w:div w:id="813639425">
              <w:marLeft w:val="0"/>
              <w:marRight w:val="0"/>
              <w:marTop w:val="0"/>
              <w:marBottom w:val="0"/>
              <w:divBdr>
                <w:top w:val="none" w:sz="0" w:space="0" w:color="auto"/>
                <w:left w:val="none" w:sz="0" w:space="0" w:color="auto"/>
                <w:bottom w:val="none" w:sz="0" w:space="0" w:color="auto"/>
                <w:right w:val="none" w:sz="0" w:space="0" w:color="auto"/>
              </w:divBdr>
            </w:div>
            <w:div w:id="573316230">
              <w:marLeft w:val="0"/>
              <w:marRight w:val="0"/>
              <w:marTop w:val="0"/>
              <w:marBottom w:val="0"/>
              <w:divBdr>
                <w:top w:val="none" w:sz="0" w:space="0" w:color="auto"/>
                <w:left w:val="none" w:sz="0" w:space="0" w:color="auto"/>
                <w:bottom w:val="none" w:sz="0" w:space="0" w:color="auto"/>
                <w:right w:val="none" w:sz="0" w:space="0" w:color="auto"/>
              </w:divBdr>
            </w:div>
            <w:div w:id="1140154894">
              <w:marLeft w:val="0"/>
              <w:marRight w:val="0"/>
              <w:marTop w:val="0"/>
              <w:marBottom w:val="0"/>
              <w:divBdr>
                <w:top w:val="none" w:sz="0" w:space="0" w:color="auto"/>
                <w:left w:val="none" w:sz="0" w:space="0" w:color="auto"/>
                <w:bottom w:val="none" w:sz="0" w:space="0" w:color="auto"/>
                <w:right w:val="none" w:sz="0" w:space="0" w:color="auto"/>
              </w:divBdr>
            </w:div>
            <w:div w:id="619999369">
              <w:marLeft w:val="0"/>
              <w:marRight w:val="0"/>
              <w:marTop w:val="0"/>
              <w:marBottom w:val="0"/>
              <w:divBdr>
                <w:top w:val="none" w:sz="0" w:space="0" w:color="auto"/>
                <w:left w:val="none" w:sz="0" w:space="0" w:color="auto"/>
                <w:bottom w:val="none" w:sz="0" w:space="0" w:color="auto"/>
                <w:right w:val="none" w:sz="0" w:space="0" w:color="auto"/>
              </w:divBdr>
            </w:div>
            <w:div w:id="81143649">
              <w:marLeft w:val="0"/>
              <w:marRight w:val="0"/>
              <w:marTop w:val="0"/>
              <w:marBottom w:val="0"/>
              <w:divBdr>
                <w:top w:val="none" w:sz="0" w:space="0" w:color="auto"/>
                <w:left w:val="none" w:sz="0" w:space="0" w:color="auto"/>
                <w:bottom w:val="none" w:sz="0" w:space="0" w:color="auto"/>
                <w:right w:val="none" w:sz="0" w:space="0" w:color="auto"/>
              </w:divBdr>
            </w:div>
            <w:div w:id="1257326735">
              <w:marLeft w:val="0"/>
              <w:marRight w:val="0"/>
              <w:marTop w:val="0"/>
              <w:marBottom w:val="0"/>
              <w:divBdr>
                <w:top w:val="none" w:sz="0" w:space="0" w:color="auto"/>
                <w:left w:val="none" w:sz="0" w:space="0" w:color="auto"/>
                <w:bottom w:val="none" w:sz="0" w:space="0" w:color="auto"/>
                <w:right w:val="none" w:sz="0" w:space="0" w:color="auto"/>
              </w:divBdr>
            </w:div>
            <w:div w:id="1271477279">
              <w:marLeft w:val="0"/>
              <w:marRight w:val="0"/>
              <w:marTop w:val="0"/>
              <w:marBottom w:val="0"/>
              <w:divBdr>
                <w:top w:val="none" w:sz="0" w:space="0" w:color="auto"/>
                <w:left w:val="none" w:sz="0" w:space="0" w:color="auto"/>
                <w:bottom w:val="none" w:sz="0" w:space="0" w:color="auto"/>
                <w:right w:val="none" w:sz="0" w:space="0" w:color="auto"/>
              </w:divBdr>
            </w:div>
            <w:div w:id="887104997">
              <w:marLeft w:val="0"/>
              <w:marRight w:val="0"/>
              <w:marTop w:val="0"/>
              <w:marBottom w:val="0"/>
              <w:divBdr>
                <w:top w:val="none" w:sz="0" w:space="0" w:color="auto"/>
                <w:left w:val="none" w:sz="0" w:space="0" w:color="auto"/>
                <w:bottom w:val="none" w:sz="0" w:space="0" w:color="auto"/>
                <w:right w:val="none" w:sz="0" w:space="0" w:color="auto"/>
              </w:divBdr>
            </w:div>
            <w:div w:id="1519268122">
              <w:marLeft w:val="0"/>
              <w:marRight w:val="0"/>
              <w:marTop w:val="0"/>
              <w:marBottom w:val="0"/>
              <w:divBdr>
                <w:top w:val="none" w:sz="0" w:space="0" w:color="auto"/>
                <w:left w:val="none" w:sz="0" w:space="0" w:color="auto"/>
                <w:bottom w:val="none" w:sz="0" w:space="0" w:color="auto"/>
                <w:right w:val="none" w:sz="0" w:space="0" w:color="auto"/>
              </w:divBdr>
            </w:div>
            <w:div w:id="1241140616">
              <w:marLeft w:val="0"/>
              <w:marRight w:val="0"/>
              <w:marTop w:val="0"/>
              <w:marBottom w:val="0"/>
              <w:divBdr>
                <w:top w:val="none" w:sz="0" w:space="0" w:color="auto"/>
                <w:left w:val="none" w:sz="0" w:space="0" w:color="auto"/>
                <w:bottom w:val="none" w:sz="0" w:space="0" w:color="auto"/>
                <w:right w:val="none" w:sz="0" w:space="0" w:color="auto"/>
              </w:divBdr>
            </w:div>
          </w:divsChild>
        </w:div>
        <w:div w:id="2139256814">
          <w:marLeft w:val="0"/>
          <w:marRight w:val="0"/>
          <w:marTop w:val="0"/>
          <w:marBottom w:val="0"/>
          <w:divBdr>
            <w:top w:val="none" w:sz="0" w:space="0" w:color="auto"/>
            <w:left w:val="none" w:sz="0" w:space="0" w:color="auto"/>
            <w:bottom w:val="none" w:sz="0" w:space="0" w:color="auto"/>
            <w:right w:val="none" w:sz="0" w:space="0" w:color="auto"/>
          </w:divBdr>
          <w:divsChild>
            <w:div w:id="412161476">
              <w:marLeft w:val="0"/>
              <w:marRight w:val="0"/>
              <w:marTop w:val="0"/>
              <w:marBottom w:val="0"/>
              <w:divBdr>
                <w:top w:val="none" w:sz="0" w:space="0" w:color="auto"/>
                <w:left w:val="none" w:sz="0" w:space="0" w:color="auto"/>
                <w:bottom w:val="none" w:sz="0" w:space="0" w:color="auto"/>
                <w:right w:val="none" w:sz="0" w:space="0" w:color="auto"/>
              </w:divBdr>
            </w:div>
            <w:div w:id="678775177">
              <w:marLeft w:val="0"/>
              <w:marRight w:val="0"/>
              <w:marTop w:val="0"/>
              <w:marBottom w:val="0"/>
              <w:divBdr>
                <w:top w:val="none" w:sz="0" w:space="0" w:color="auto"/>
                <w:left w:val="none" w:sz="0" w:space="0" w:color="auto"/>
                <w:bottom w:val="none" w:sz="0" w:space="0" w:color="auto"/>
                <w:right w:val="none" w:sz="0" w:space="0" w:color="auto"/>
              </w:divBdr>
            </w:div>
            <w:div w:id="1757240931">
              <w:marLeft w:val="0"/>
              <w:marRight w:val="0"/>
              <w:marTop w:val="0"/>
              <w:marBottom w:val="0"/>
              <w:divBdr>
                <w:top w:val="none" w:sz="0" w:space="0" w:color="auto"/>
                <w:left w:val="none" w:sz="0" w:space="0" w:color="auto"/>
                <w:bottom w:val="none" w:sz="0" w:space="0" w:color="auto"/>
                <w:right w:val="none" w:sz="0" w:space="0" w:color="auto"/>
              </w:divBdr>
            </w:div>
            <w:div w:id="1694190818">
              <w:marLeft w:val="0"/>
              <w:marRight w:val="0"/>
              <w:marTop w:val="0"/>
              <w:marBottom w:val="0"/>
              <w:divBdr>
                <w:top w:val="none" w:sz="0" w:space="0" w:color="auto"/>
                <w:left w:val="none" w:sz="0" w:space="0" w:color="auto"/>
                <w:bottom w:val="none" w:sz="0" w:space="0" w:color="auto"/>
                <w:right w:val="none" w:sz="0" w:space="0" w:color="auto"/>
              </w:divBdr>
            </w:div>
            <w:div w:id="462773971">
              <w:marLeft w:val="0"/>
              <w:marRight w:val="0"/>
              <w:marTop w:val="0"/>
              <w:marBottom w:val="0"/>
              <w:divBdr>
                <w:top w:val="none" w:sz="0" w:space="0" w:color="auto"/>
                <w:left w:val="none" w:sz="0" w:space="0" w:color="auto"/>
                <w:bottom w:val="none" w:sz="0" w:space="0" w:color="auto"/>
                <w:right w:val="none" w:sz="0" w:space="0" w:color="auto"/>
              </w:divBdr>
            </w:div>
            <w:div w:id="1947225419">
              <w:marLeft w:val="0"/>
              <w:marRight w:val="0"/>
              <w:marTop w:val="0"/>
              <w:marBottom w:val="0"/>
              <w:divBdr>
                <w:top w:val="none" w:sz="0" w:space="0" w:color="auto"/>
                <w:left w:val="none" w:sz="0" w:space="0" w:color="auto"/>
                <w:bottom w:val="none" w:sz="0" w:space="0" w:color="auto"/>
                <w:right w:val="none" w:sz="0" w:space="0" w:color="auto"/>
              </w:divBdr>
            </w:div>
            <w:div w:id="326321650">
              <w:marLeft w:val="0"/>
              <w:marRight w:val="0"/>
              <w:marTop w:val="0"/>
              <w:marBottom w:val="0"/>
              <w:divBdr>
                <w:top w:val="none" w:sz="0" w:space="0" w:color="auto"/>
                <w:left w:val="none" w:sz="0" w:space="0" w:color="auto"/>
                <w:bottom w:val="none" w:sz="0" w:space="0" w:color="auto"/>
                <w:right w:val="none" w:sz="0" w:space="0" w:color="auto"/>
              </w:divBdr>
            </w:div>
            <w:div w:id="137232788">
              <w:marLeft w:val="0"/>
              <w:marRight w:val="0"/>
              <w:marTop w:val="0"/>
              <w:marBottom w:val="0"/>
              <w:divBdr>
                <w:top w:val="none" w:sz="0" w:space="0" w:color="auto"/>
                <w:left w:val="none" w:sz="0" w:space="0" w:color="auto"/>
                <w:bottom w:val="none" w:sz="0" w:space="0" w:color="auto"/>
                <w:right w:val="none" w:sz="0" w:space="0" w:color="auto"/>
              </w:divBdr>
            </w:div>
            <w:div w:id="365761878">
              <w:marLeft w:val="0"/>
              <w:marRight w:val="0"/>
              <w:marTop w:val="0"/>
              <w:marBottom w:val="0"/>
              <w:divBdr>
                <w:top w:val="none" w:sz="0" w:space="0" w:color="auto"/>
                <w:left w:val="none" w:sz="0" w:space="0" w:color="auto"/>
                <w:bottom w:val="none" w:sz="0" w:space="0" w:color="auto"/>
                <w:right w:val="none" w:sz="0" w:space="0" w:color="auto"/>
              </w:divBdr>
            </w:div>
            <w:div w:id="278032983">
              <w:marLeft w:val="0"/>
              <w:marRight w:val="0"/>
              <w:marTop w:val="0"/>
              <w:marBottom w:val="0"/>
              <w:divBdr>
                <w:top w:val="none" w:sz="0" w:space="0" w:color="auto"/>
                <w:left w:val="none" w:sz="0" w:space="0" w:color="auto"/>
                <w:bottom w:val="none" w:sz="0" w:space="0" w:color="auto"/>
                <w:right w:val="none" w:sz="0" w:space="0" w:color="auto"/>
              </w:divBdr>
            </w:div>
            <w:div w:id="503396511">
              <w:marLeft w:val="0"/>
              <w:marRight w:val="0"/>
              <w:marTop w:val="0"/>
              <w:marBottom w:val="0"/>
              <w:divBdr>
                <w:top w:val="none" w:sz="0" w:space="0" w:color="auto"/>
                <w:left w:val="none" w:sz="0" w:space="0" w:color="auto"/>
                <w:bottom w:val="none" w:sz="0" w:space="0" w:color="auto"/>
                <w:right w:val="none" w:sz="0" w:space="0" w:color="auto"/>
              </w:divBdr>
            </w:div>
            <w:div w:id="1006371078">
              <w:marLeft w:val="0"/>
              <w:marRight w:val="0"/>
              <w:marTop w:val="0"/>
              <w:marBottom w:val="0"/>
              <w:divBdr>
                <w:top w:val="none" w:sz="0" w:space="0" w:color="auto"/>
                <w:left w:val="none" w:sz="0" w:space="0" w:color="auto"/>
                <w:bottom w:val="none" w:sz="0" w:space="0" w:color="auto"/>
                <w:right w:val="none" w:sz="0" w:space="0" w:color="auto"/>
              </w:divBdr>
            </w:div>
            <w:div w:id="1892839525">
              <w:marLeft w:val="0"/>
              <w:marRight w:val="0"/>
              <w:marTop w:val="0"/>
              <w:marBottom w:val="0"/>
              <w:divBdr>
                <w:top w:val="none" w:sz="0" w:space="0" w:color="auto"/>
                <w:left w:val="none" w:sz="0" w:space="0" w:color="auto"/>
                <w:bottom w:val="none" w:sz="0" w:space="0" w:color="auto"/>
                <w:right w:val="none" w:sz="0" w:space="0" w:color="auto"/>
              </w:divBdr>
            </w:div>
            <w:div w:id="1732535831">
              <w:marLeft w:val="0"/>
              <w:marRight w:val="0"/>
              <w:marTop w:val="0"/>
              <w:marBottom w:val="0"/>
              <w:divBdr>
                <w:top w:val="none" w:sz="0" w:space="0" w:color="auto"/>
                <w:left w:val="none" w:sz="0" w:space="0" w:color="auto"/>
                <w:bottom w:val="none" w:sz="0" w:space="0" w:color="auto"/>
                <w:right w:val="none" w:sz="0" w:space="0" w:color="auto"/>
              </w:divBdr>
            </w:div>
            <w:div w:id="1548762412">
              <w:marLeft w:val="0"/>
              <w:marRight w:val="0"/>
              <w:marTop w:val="0"/>
              <w:marBottom w:val="0"/>
              <w:divBdr>
                <w:top w:val="none" w:sz="0" w:space="0" w:color="auto"/>
                <w:left w:val="none" w:sz="0" w:space="0" w:color="auto"/>
                <w:bottom w:val="none" w:sz="0" w:space="0" w:color="auto"/>
                <w:right w:val="none" w:sz="0" w:space="0" w:color="auto"/>
              </w:divBdr>
            </w:div>
            <w:div w:id="1681588284">
              <w:marLeft w:val="0"/>
              <w:marRight w:val="0"/>
              <w:marTop w:val="0"/>
              <w:marBottom w:val="0"/>
              <w:divBdr>
                <w:top w:val="none" w:sz="0" w:space="0" w:color="auto"/>
                <w:left w:val="none" w:sz="0" w:space="0" w:color="auto"/>
                <w:bottom w:val="none" w:sz="0" w:space="0" w:color="auto"/>
                <w:right w:val="none" w:sz="0" w:space="0" w:color="auto"/>
              </w:divBdr>
            </w:div>
            <w:div w:id="337387040">
              <w:marLeft w:val="0"/>
              <w:marRight w:val="0"/>
              <w:marTop w:val="0"/>
              <w:marBottom w:val="0"/>
              <w:divBdr>
                <w:top w:val="none" w:sz="0" w:space="0" w:color="auto"/>
                <w:left w:val="none" w:sz="0" w:space="0" w:color="auto"/>
                <w:bottom w:val="none" w:sz="0" w:space="0" w:color="auto"/>
                <w:right w:val="none" w:sz="0" w:space="0" w:color="auto"/>
              </w:divBdr>
            </w:div>
            <w:div w:id="909733281">
              <w:marLeft w:val="0"/>
              <w:marRight w:val="0"/>
              <w:marTop w:val="0"/>
              <w:marBottom w:val="0"/>
              <w:divBdr>
                <w:top w:val="none" w:sz="0" w:space="0" w:color="auto"/>
                <w:left w:val="none" w:sz="0" w:space="0" w:color="auto"/>
                <w:bottom w:val="none" w:sz="0" w:space="0" w:color="auto"/>
                <w:right w:val="none" w:sz="0" w:space="0" w:color="auto"/>
              </w:divBdr>
            </w:div>
            <w:div w:id="1760255393">
              <w:marLeft w:val="0"/>
              <w:marRight w:val="0"/>
              <w:marTop w:val="0"/>
              <w:marBottom w:val="0"/>
              <w:divBdr>
                <w:top w:val="none" w:sz="0" w:space="0" w:color="auto"/>
                <w:left w:val="none" w:sz="0" w:space="0" w:color="auto"/>
                <w:bottom w:val="none" w:sz="0" w:space="0" w:color="auto"/>
                <w:right w:val="none" w:sz="0" w:space="0" w:color="auto"/>
              </w:divBdr>
            </w:div>
            <w:div w:id="524758619">
              <w:marLeft w:val="0"/>
              <w:marRight w:val="0"/>
              <w:marTop w:val="0"/>
              <w:marBottom w:val="0"/>
              <w:divBdr>
                <w:top w:val="none" w:sz="0" w:space="0" w:color="auto"/>
                <w:left w:val="none" w:sz="0" w:space="0" w:color="auto"/>
                <w:bottom w:val="none" w:sz="0" w:space="0" w:color="auto"/>
                <w:right w:val="none" w:sz="0" w:space="0" w:color="auto"/>
              </w:divBdr>
            </w:div>
          </w:divsChild>
        </w:div>
        <w:div w:id="1592928004">
          <w:marLeft w:val="0"/>
          <w:marRight w:val="0"/>
          <w:marTop w:val="0"/>
          <w:marBottom w:val="0"/>
          <w:divBdr>
            <w:top w:val="none" w:sz="0" w:space="0" w:color="auto"/>
            <w:left w:val="none" w:sz="0" w:space="0" w:color="auto"/>
            <w:bottom w:val="none" w:sz="0" w:space="0" w:color="auto"/>
            <w:right w:val="none" w:sz="0" w:space="0" w:color="auto"/>
          </w:divBdr>
          <w:divsChild>
            <w:div w:id="980695003">
              <w:marLeft w:val="0"/>
              <w:marRight w:val="0"/>
              <w:marTop w:val="0"/>
              <w:marBottom w:val="0"/>
              <w:divBdr>
                <w:top w:val="none" w:sz="0" w:space="0" w:color="auto"/>
                <w:left w:val="none" w:sz="0" w:space="0" w:color="auto"/>
                <w:bottom w:val="none" w:sz="0" w:space="0" w:color="auto"/>
                <w:right w:val="none" w:sz="0" w:space="0" w:color="auto"/>
              </w:divBdr>
            </w:div>
            <w:div w:id="424500603">
              <w:marLeft w:val="0"/>
              <w:marRight w:val="0"/>
              <w:marTop w:val="0"/>
              <w:marBottom w:val="0"/>
              <w:divBdr>
                <w:top w:val="none" w:sz="0" w:space="0" w:color="auto"/>
                <w:left w:val="none" w:sz="0" w:space="0" w:color="auto"/>
                <w:bottom w:val="none" w:sz="0" w:space="0" w:color="auto"/>
                <w:right w:val="none" w:sz="0" w:space="0" w:color="auto"/>
              </w:divBdr>
            </w:div>
            <w:div w:id="1918898615">
              <w:marLeft w:val="0"/>
              <w:marRight w:val="0"/>
              <w:marTop w:val="0"/>
              <w:marBottom w:val="0"/>
              <w:divBdr>
                <w:top w:val="none" w:sz="0" w:space="0" w:color="auto"/>
                <w:left w:val="none" w:sz="0" w:space="0" w:color="auto"/>
                <w:bottom w:val="none" w:sz="0" w:space="0" w:color="auto"/>
                <w:right w:val="none" w:sz="0" w:space="0" w:color="auto"/>
              </w:divBdr>
            </w:div>
            <w:div w:id="948006337">
              <w:marLeft w:val="0"/>
              <w:marRight w:val="0"/>
              <w:marTop w:val="0"/>
              <w:marBottom w:val="0"/>
              <w:divBdr>
                <w:top w:val="none" w:sz="0" w:space="0" w:color="auto"/>
                <w:left w:val="none" w:sz="0" w:space="0" w:color="auto"/>
                <w:bottom w:val="none" w:sz="0" w:space="0" w:color="auto"/>
                <w:right w:val="none" w:sz="0" w:space="0" w:color="auto"/>
              </w:divBdr>
            </w:div>
            <w:div w:id="963778609">
              <w:marLeft w:val="0"/>
              <w:marRight w:val="0"/>
              <w:marTop w:val="0"/>
              <w:marBottom w:val="0"/>
              <w:divBdr>
                <w:top w:val="none" w:sz="0" w:space="0" w:color="auto"/>
                <w:left w:val="none" w:sz="0" w:space="0" w:color="auto"/>
                <w:bottom w:val="none" w:sz="0" w:space="0" w:color="auto"/>
                <w:right w:val="none" w:sz="0" w:space="0" w:color="auto"/>
              </w:divBdr>
            </w:div>
            <w:div w:id="1214193865">
              <w:marLeft w:val="0"/>
              <w:marRight w:val="0"/>
              <w:marTop w:val="0"/>
              <w:marBottom w:val="0"/>
              <w:divBdr>
                <w:top w:val="none" w:sz="0" w:space="0" w:color="auto"/>
                <w:left w:val="none" w:sz="0" w:space="0" w:color="auto"/>
                <w:bottom w:val="none" w:sz="0" w:space="0" w:color="auto"/>
                <w:right w:val="none" w:sz="0" w:space="0" w:color="auto"/>
              </w:divBdr>
            </w:div>
            <w:div w:id="1533035797">
              <w:marLeft w:val="0"/>
              <w:marRight w:val="0"/>
              <w:marTop w:val="0"/>
              <w:marBottom w:val="0"/>
              <w:divBdr>
                <w:top w:val="none" w:sz="0" w:space="0" w:color="auto"/>
                <w:left w:val="none" w:sz="0" w:space="0" w:color="auto"/>
                <w:bottom w:val="none" w:sz="0" w:space="0" w:color="auto"/>
                <w:right w:val="none" w:sz="0" w:space="0" w:color="auto"/>
              </w:divBdr>
            </w:div>
            <w:div w:id="1195851877">
              <w:marLeft w:val="0"/>
              <w:marRight w:val="0"/>
              <w:marTop w:val="0"/>
              <w:marBottom w:val="0"/>
              <w:divBdr>
                <w:top w:val="none" w:sz="0" w:space="0" w:color="auto"/>
                <w:left w:val="none" w:sz="0" w:space="0" w:color="auto"/>
                <w:bottom w:val="none" w:sz="0" w:space="0" w:color="auto"/>
                <w:right w:val="none" w:sz="0" w:space="0" w:color="auto"/>
              </w:divBdr>
            </w:div>
            <w:div w:id="147895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29255">
      <w:bodyDiv w:val="1"/>
      <w:marLeft w:val="0"/>
      <w:marRight w:val="0"/>
      <w:marTop w:val="0"/>
      <w:marBottom w:val="0"/>
      <w:divBdr>
        <w:top w:val="none" w:sz="0" w:space="0" w:color="auto"/>
        <w:left w:val="none" w:sz="0" w:space="0" w:color="auto"/>
        <w:bottom w:val="none" w:sz="0" w:space="0" w:color="auto"/>
        <w:right w:val="none" w:sz="0" w:space="0" w:color="auto"/>
      </w:divBdr>
    </w:div>
    <w:div w:id="1342779017">
      <w:bodyDiv w:val="1"/>
      <w:marLeft w:val="0"/>
      <w:marRight w:val="0"/>
      <w:marTop w:val="0"/>
      <w:marBottom w:val="0"/>
      <w:divBdr>
        <w:top w:val="none" w:sz="0" w:space="0" w:color="auto"/>
        <w:left w:val="none" w:sz="0" w:space="0" w:color="auto"/>
        <w:bottom w:val="none" w:sz="0" w:space="0" w:color="auto"/>
        <w:right w:val="none" w:sz="0" w:space="0" w:color="auto"/>
      </w:divBdr>
      <w:divsChild>
        <w:div w:id="70544734">
          <w:marLeft w:val="0"/>
          <w:marRight w:val="0"/>
          <w:marTop w:val="0"/>
          <w:marBottom w:val="0"/>
          <w:divBdr>
            <w:top w:val="none" w:sz="0" w:space="0" w:color="auto"/>
            <w:left w:val="none" w:sz="0" w:space="0" w:color="auto"/>
            <w:bottom w:val="none" w:sz="0" w:space="0" w:color="auto"/>
            <w:right w:val="none" w:sz="0" w:space="0" w:color="auto"/>
          </w:divBdr>
        </w:div>
      </w:divsChild>
    </w:div>
    <w:div w:id="1347443389">
      <w:bodyDiv w:val="1"/>
      <w:marLeft w:val="0"/>
      <w:marRight w:val="0"/>
      <w:marTop w:val="0"/>
      <w:marBottom w:val="0"/>
      <w:divBdr>
        <w:top w:val="none" w:sz="0" w:space="0" w:color="auto"/>
        <w:left w:val="none" w:sz="0" w:space="0" w:color="auto"/>
        <w:bottom w:val="none" w:sz="0" w:space="0" w:color="auto"/>
        <w:right w:val="none" w:sz="0" w:space="0" w:color="auto"/>
      </w:divBdr>
    </w:div>
    <w:div w:id="1360274482">
      <w:bodyDiv w:val="1"/>
      <w:marLeft w:val="0"/>
      <w:marRight w:val="0"/>
      <w:marTop w:val="0"/>
      <w:marBottom w:val="0"/>
      <w:divBdr>
        <w:top w:val="none" w:sz="0" w:space="0" w:color="auto"/>
        <w:left w:val="none" w:sz="0" w:space="0" w:color="auto"/>
        <w:bottom w:val="none" w:sz="0" w:space="0" w:color="auto"/>
        <w:right w:val="none" w:sz="0" w:space="0" w:color="auto"/>
      </w:divBdr>
    </w:div>
    <w:div w:id="1360428010">
      <w:bodyDiv w:val="1"/>
      <w:marLeft w:val="0"/>
      <w:marRight w:val="0"/>
      <w:marTop w:val="0"/>
      <w:marBottom w:val="0"/>
      <w:divBdr>
        <w:top w:val="none" w:sz="0" w:space="0" w:color="auto"/>
        <w:left w:val="none" w:sz="0" w:space="0" w:color="auto"/>
        <w:bottom w:val="none" w:sz="0" w:space="0" w:color="auto"/>
        <w:right w:val="none" w:sz="0" w:space="0" w:color="auto"/>
      </w:divBdr>
      <w:divsChild>
        <w:div w:id="1754203755">
          <w:marLeft w:val="0"/>
          <w:marRight w:val="0"/>
          <w:marTop w:val="0"/>
          <w:marBottom w:val="0"/>
          <w:divBdr>
            <w:top w:val="none" w:sz="0" w:space="0" w:color="auto"/>
            <w:left w:val="none" w:sz="0" w:space="0" w:color="auto"/>
            <w:bottom w:val="none" w:sz="0" w:space="0" w:color="auto"/>
            <w:right w:val="none" w:sz="0" w:space="0" w:color="auto"/>
          </w:divBdr>
        </w:div>
      </w:divsChild>
    </w:div>
    <w:div w:id="1364862064">
      <w:bodyDiv w:val="1"/>
      <w:marLeft w:val="0"/>
      <w:marRight w:val="0"/>
      <w:marTop w:val="0"/>
      <w:marBottom w:val="0"/>
      <w:divBdr>
        <w:top w:val="none" w:sz="0" w:space="0" w:color="auto"/>
        <w:left w:val="none" w:sz="0" w:space="0" w:color="auto"/>
        <w:bottom w:val="none" w:sz="0" w:space="0" w:color="auto"/>
        <w:right w:val="none" w:sz="0" w:space="0" w:color="auto"/>
      </w:divBdr>
      <w:divsChild>
        <w:div w:id="992179634">
          <w:marLeft w:val="0"/>
          <w:marRight w:val="0"/>
          <w:marTop w:val="0"/>
          <w:marBottom w:val="0"/>
          <w:divBdr>
            <w:top w:val="none" w:sz="0" w:space="0" w:color="auto"/>
            <w:left w:val="none" w:sz="0" w:space="0" w:color="auto"/>
            <w:bottom w:val="none" w:sz="0" w:space="0" w:color="auto"/>
            <w:right w:val="none" w:sz="0" w:space="0" w:color="auto"/>
          </w:divBdr>
        </w:div>
      </w:divsChild>
    </w:div>
    <w:div w:id="1365904785">
      <w:bodyDiv w:val="1"/>
      <w:marLeft w:val="0"/>
      <w:marRight w:val="0"/>
      <w:marTop w:val="0"/>
      <w:marBottom w:val="0"/>
      <w:divBdr>
        <w:top w:val="none" w:sz="0" w:space="0" w:color="auto"/>
        <w:left w:val="none" w:sz="0" w:space="0" w:color="auto"/>
        <w:bottom w:val="none" w:sz="0" w:space="0" w:color="auto"/>
        <w:right w:val="none" w:sz="0" w:space="0" w:color="auto"/>
      </w:divBdr>
    </w:div>
    <w:div w:id="1374841041">
      <w:bodyDiv w:val="1"/>
      <w:marLeft w:val="0"/>
      <w:marRight w:val="0"/>
      <w:marTop w:val="0"/>
      <w:marBottom w:val="0"/>
      <w:divBdr>
        <w:top w:val="none" w:sz="0" w:space="0" w:color="auto"/>
        <w:left w:val="none" w:sz="0" w:space="0" w:color="auto"/>
        <w:bottom w:val="none" w:sz="0" w:space="0" w:color="auto"/>
        <w:right w:val="none" w:sz="0" w:space="0" w:color="auto"/>
      </w:divBdr>
      <w:divsChild>
        <w:div w:id="2004890283">
          <w:marLeft w:val="0"/>
          <w:marRight w:val="0"/>
          <w:marTop w:val="0"/>
          <w:marBottom w:val="0"/>
          <w:divBdr>
            <w:top w:val="none" w:sz="0" w:space="0" w:color="auto"/>
            <w:left w:val="none" w:sz="0" w:space="0" w:color="auto"/>
            <w:bottom w:val="none" w:sz="0" w:space="0" w:color="auto"/>
            <w:right w:val="none" w:sz="0" w:space="0" w:color="auto"/>
          </w:divBdr>
        </w:div>
      </w:divsChild>
    </w:div>
    <w:div w:id="1386022590">
      <w:bodyDiv w:val="1"/>
      <w:marLeft w:val="0"/>
      <w:marRight w:val="0"/>
      <w:marTop w:val="0"/>
      <w:marBottom w:val="0"/>
      <w:divBdr>
        <w:top w:val="none" w:sz="0" w:space="0" w:color="auto"/>
        <w:left w:val="none" w:sz="0" w:space="0" w:color="auto"/>
        <w:bottom w:val="none" w:sz="0" w:space="0" w:color="auto"/>
        <w:right w:val="none" w:sz="0" w:space="0" w:color="auto"/>
      </w:divBdr>
      <w:divsChild>
        <w:div w:id="1952977743">
          <w:marLeft w:val="0"/>
          <w:marRight w:val="0"/>
          <w:marTop w:val="0"/>
          <w:marBottom w:val="0"/>
          <w:divBdr>
            <w:top w:val="none" w:sz="0" w:space="0" w:color="auto"/>
            <w:left w:val="none" w:sz="0" w:space="0" w:color="auto"/>
            <w:bottom w:val="none" w:sz="0" w:space="0" w:color="auto"/>
            <w:right w:val="none" w:sz="0" w:space="0" w:color="auto"/>
          </w:divBdr>
        </w:div>
      </w:divsChild>
    </w:div>
    <w:div w:id="1389065666">
      <w:bodyDiv w:val="1"/>
      <w:marLeft w:val="0"/>
      <w:marRight w:val="0"/>
      <w:marTop w:val="0"/>
      <w:marBottom w:val="0"/>
      <w:divBdr>
        <w:top w:val="none" w:sz="0" w:space="0" w:color="auto"/>
        <w:left w:val="none" w:sz="0" w:space="0" w:color="auto"/>
        <w:bottom w:val="none" w:sz="0" w:space="0" w:color="auto"/>
        <w:right w:val="none" w:sz="0" w:space="0" w:color="auto"/>
      </w:divBdr>
      <w:divsChild>
        <w:div w:id="1932817051">
          <w:marLeft w:val="0"/>
          <w:marRight w:val="0"/>
          <w:marTop w:val="0"/>
          <w:marBottom w:val="0"/>
          <w:divBdr>
            <w:top w:val="none" w:sz="0" w:space="0" w:color="auto"/>
            <w:left w:val="none" w:sz="0" w:space="0" w:color="auto"/>
            <w:bottom w:val="none" w:sz="0" w:space="0" w:color="auto"/>
            <w:right w:val="none" w:sz="0" w:space="0" w:color="auto"/>
          </w:divBdr>
        </w:div>
      </w:divsChild>
    </w:div>
    <w:div w:id="1390609735">
      <w:bodyDiv w:val="1"/>
      <w:marLeft w:val="0"/>
      <w:marRight w:val="0"/>
      <w:marTop w:val="0"/>
      <w:marBottom w:val="0"/>
      <w:divBdr>
        <w:top w:val="none" w:sz="0" w:space="0" w:color="auto"/>
        <w:left w:val="none" w:sz="0" w:space="0" w:color="auto"/>
        <w:bottom w:val="none" w:sz="0" w:space="0" w:color="auto"/>
        <w:right w:val="none" w:sz="0" w:space="0" w:color="auto"/>
      </w:divBdr>
      <w:divsChild>
        <w:div w:id="1601452141">
          <w:marLeft w:val="0"/>
          <w:marRight w:val="0"/>
          <w:marTop w:val="0"/>
          <w:marBottom w:val="0"/>
          <w:divBdr>
            <w:top w:val="none" w:sz="0" w:space="0" w:color="auto"/>
            <w:left w:val="none" w:sz="0" w:space="0" w:color="auto"/>
            <w:bottom w:val="none" w:sz="0" w:space="0" w:color="auto"/>
            <w:right w:val="none" w:sz="0" w:space="0" w:color="auto"/>
          </w:divBdr>
        </w:div>
      </w:divsChild>
    </w:div>
    <w:div w:id="1399590137">
      <w:bodyDiv w:val="1"/>
      <w:marLeft w:val="0"/>
      <w:marRight w:val="0"/>
      <w:marTop w:val="0"/>
      <w:marBottom w:val="0"/>
      <w:divBdr>
        <w:top w:val="none" w:sz="0" w:space="0" w:color="auto"/>
        <w:left w:val="none" w:sz="0" w:space="0" w:color="auto"/>
        <w:bottom w:val="none" w:sz="0" w:space="0" w:color="auto"/>
        <w:right w:val="none" w:sz="0" w:space="0" w:color="auto"/>
      </w:divBdr>
    </w:div>
    <w:div w:id="1404992073">
      <w:bodyDiv w:val="1"/>
      <w:marLeft w:val="0"/>
      <w:marRight w:val="0"/>
      <w:marTop w:val="0"/>
      <w:marBottom w:val="0"/>
      <w:divBdr>
        <w:top w:val="none" w:sz="0" w:space="0" w:color="auto"/>
        <w:left w:val="none" w:sz="0" w:space="0" w:color="auto"/>
        <w:bottom w:val="none" w:sz="0" w:space="0" w:color="auto"/>
        <w:right w:val="none" w:sz="0" w:space="0" w:color="auto"/>
      </w:divBdr>
    </w:div>
    <w:div w:id="1405836628">
      <w:bodyDiv w:val="1"/>
      <w:marLeft w:val="0"/>
      <w:marRight w:val="0"/>
      <w:marTop w:val="0"/>
      <w:marBottom w:val="0"/>
      <w:divBdr>
        <w:top w:val="none" w:sz="0" w:space="0" w:color="auto"/>
        <w:left w:val="none" w:sz="0" w:space="0" w:color="auto"/>
        <w:bottom w:val="none" w:sz="0" w:space="0" w:color="auto"/>
        <w:right w:val="none" w:sz="0" w:space="0" w:color="auto"/>
      </w:divBdr>
      <w:divsChild>
        <w:div w:id="1101102988">
          <w:marLeft w:val="0"/>
          <w:marRight w:val="0"/>
          <w:marTop w:val="0"/>
          <w:marBottom w:val="0"/>
          <w:divBdr>
            <w:top w:val="none" w:sz="0" w:space="0" w:color="auto"/>
            <w:left w:val="none" w:sz="0" w:space="0" w:color="auto"/>
            <w:bottom w:val="none" w:sz="0" w:space="0" w:color="auto"/>
            <w:right w:val="none" w:sz="0" w:space="0" w:color="auto"/>
          </w:divBdr>
        </w:div>
      </w:divsChild>
    </w:div>
    <w:div w:id="1417169225">
      <w:bodyDiv w:val="1"/>
      <w:marLeft w:val="0"/>
      <w:marRight w:val="0"/>
      <w:marTop w:val="0"/>
      <w:marBottom w:val="0"/>
      <w:divBdr>
        <w:top w:val="none" w:sz="0" w:space="0" w:color="auto"/>
        <w:left w:val="none" w:sz="0" w:space="0" w:color="auto"/>
        <w:bottom w:val="none" w:sz="0" w:space="0" w:color="auto"/>
        <w:right w:val="none" w:sz="0" w:space="0" w:color="auto"/>
      </w:divBdr>
    </w:div>
    <w:div w:id="1421214635">
      <w:bodyDiv w:val="1"/>
      <w:marLeft w:val="0"/>
      <w:marRight w:val="0"/>
      <w:marTop w:val="0"/>
      <w:marBottom w:val="0"/>
      <w:divBdr>
        <w:top w:val="none" w:sz="0" w:space="0" w:color="auto"/>
        <w:left w:val="none" w:sz="0" w:space="0" w:color="auto"/>
        <w:bottom w:val="none" w:sz="0" w:space="0" w:color="auto"/>
        <w:right w:val="none" w:sz="0" w:space="0" w:color="auto"/>
      </w:divBdr>
      <w:divsChild>
        <w:div w:id="1850832092">
          <w:marLeft w:val="0"/>
          <w:marRight w:val="0"/>
          <w:marTop w:val="0"/>
          <w:marBottom w:val="0"/>
          <w:divBdr>
            <w:top w:val="none" w:sz="0" w:space="0" w:color="auto"/>
            <w:left w:val="none" w:sz="0" w:space="0" w:color="auto"/>
            <w:bottom w:val="none" w:sz="0" w:space="0" w:color="auto"/>
            <w:right w:val="none" w:sz="0" w:space="0" w:color="auto"/>
          </w:divBdr>
        </w:div>
      </w:divsChild>
    </w:div>
    <w:div w:id="1426922216">
      <w:bodyDiv w:val="1"/>
      <w:marLeft w:val="0"/>
      <w:marRight w:val="0"/>
      <w:marTop w:val="0"/>
      <w:marBottom w:val="0"/>
      <w:divBdr>
        <w:top w:val="none" w:sz="0" w:space="0" w:color="auto"/>
        <w:left w:val="none" w:sz="0" w:space="0" w:color="auto"/>
        <w:bottom w:val="none" w:sz="0" w:space="0" w:color="auto"/>
        <w:right w:val="none" w:sz="0" w:space="0" w:color="auto"/>
      </w:divBdr>
      <w:divsChild>
        <w:div w:id="1290942420">
          <w:marLeft w:val="0"/>
          <w:marRight w:val="0"/>
          <w:marTop w:val="0"/>
          <w:marBottom w:val="0"/>
          <w:divBdr>
            <w:top w:val="none" w:sz="0" w:space="0" w:color="auto"/>
            <w:left w:val="none" w:sz="0" w:space="0" w:color="auto"/>
            <w:bottom w:val="none" w:sz="0" w:space="0" w:color="auto"/>
            <w:right w:val="none" w:sz="0" w:space="0" w:color="auto"/>
          </w:divBdr>
        </w:div>
      </w:divsChild>
    </w:div>
    <w:div w:id="1436629051">
      <w:bodyDiv w:val="1"/>
      <w:marLeft w:val="0"/>
      <w:marRight w:val="0"/>
      <w:marTop w:val="0"/>
      <w:marBottom w:val="0"/>
      <w:divBdr>
        <w:top w:val="none" w:sz="0" w:space="0" w:color="auto"/>
        <w:left w:val="none" w:sz="0" w:space="0" w:color="auto"/>
        <w:bottom w:val="none" w:sz="0" w:space="0" w:color="auto"/>
        <w:right w:val="none" w:sz="0" w:space="0" w:color="auto"/>
      </w:divBdr>
    </w:div>
    <w:div w:id="1449665160">
      <w:bodyDiv w:val="1"/>
      <w:marLeft w:val="0"/>
      <w:marRight w:val="0"/>
      <w:marTop w:val="0"/>
      <w:marBottom w:val="0"/>
      <w:divBdr>
        <w:top w:val="none" w:sz="0" w:space="0" w:color="auto"/>
        <w:left w:val="none" w:sz="0" w:space="0" w:color="auto"/>
        <w:bottom w:val="none" w:sz="0" w:space="0" w:color="auto"/>
        <w:right w:val="none" w:sz="0" w:space="0" w:color="auto"/>
      </w:divBdr>
      <w:divsChild>
        <w:div w:id="458492500">
          <w:marLeft w:val="0"/>
          <w:marRight w:val="0"/>
          <w:marTop w:val="0"/>
          <w:marBottom w:val="0"/>
          <w:divBdr>
            <w:top w:val="none" w:sz="0" w:space="0" w:color="auto"/>
            <w:left w:val="none" w:sz="0" w:space="0" w:color="auto"/>
            <w:bottom w:val="none" w:sz="0" w:space="0" w:color="auto"/>
            <w:right w:val="none" w:sz="0" w:space="0" w:color="auto"/>
          </w:divBdr>
        </w:div>
      </w:divsChild>
    </w:div>
    <w:div w:id="1457992091">
      <w:bodyDiv w:val="1"/>
      <w:marLeft w:val="0"/>
      <w:marRight w:val="0"/>
      <w:marTop w:val="0"/>
      <w:marBottom w:val="0"/>
      <w:divBdr>
        <w:top w:val="none" w:sz="0" w:space="0" w:color="auto"/>
        <w:left w:val="none" w:sz="0" w:space="0" w:color="auto"/>
        <w:bottom w:val="none" w:sz="0" w:space="0" w:color="auto"/>
        <w:right w:val="none" w:sz="0" w:space="0" w:color="auto"/>
      </w:divBdr>
      <w:divsChild>
        <w:div w:id="1088042147">
          <w:marLeft w:val="0"/>
          <w:marRight w:val="0"/>
          <w:marTop w:val="0"/>
          <w:marBottom w:val="0"/>
          <w:divBdr>
            <w:top w:val="none" w:sz="0" w:space="0" w:color="auto"/>
            <w:left w:val="none" w:sz="0" w:space="0" w:color="auto"/>
            <w:bottom w:val="none" w:sz="0" w:space="0" w:color="auto"/>
            <w:right w:val="none" w:sz="0" w:space="0" w:color="auto"/>
          </w:divBdr>
        </w:div>
      </w:divsChild>
    </w:div>
    <w:div w:id="1466310632">
      <w:bodyDiv w:val="1"/>
      <w:marLeft w:val="0"/>
      <w:marRight w:val="0"/>
      <w:marTop w:val="0"/>
      <w:marBottom w:val="0"/>
      <w:divBdr>
        <w:top w:val="none" w:sz="0" w:space="0" w:color="auto"/>
        <w:left w:val="none" w:sz="0" w:space="0" w:color="auto"/>
        <w:bottom w:val="none" w:sz="0" w:space="0" w:color="auto"/>
        <w:right w:val="none" w:sz="0" w:space="0" w:color="auto"/>
      </w:divBdr>
    </w:div>
    <w:div w:id="1475836116">
      <w:bodyDiv w:val="1"/>
      <w:marLeft w:val="0"/>
      <w:marRight w:val="0"/>
      <w:marTop w:val="0"/>
      <w:marBottom w:val="0"/>
      <w:divBdr>
        <w:top w:val="none" w:sz="0" w:space="0" w:color="auto"/>
        <w:left w:val="none" w:sz="0" w:space="0" w:color="auto"/>
        <w:bottom w:val="none" w:sz="0" w:space="0" w:color="auto"/>
        <w:right w:val="none" w:sz="0" w:space="0" w:color="auto"/>
      </w:divBdr>
    </w:div>
    <w:div w:id="1478717903">
      <w:bodyDiv w:val="1"/>
      <w:marLeft w:val="0"/>
      <w:marRight w:val="0"/>
      <w:marTop w:val="0"/>
      <w:marBottom w:val="0"/>
      <w:divBdr>
        <w:top w:val="none" w:sz="0" w:space="0" w:color="auto"/>
        <w:left w:val="none" w:sz="0" w:space="0" w:color="auto"/>
        <w:bottom w:val="none" w:sz="0" w:space="0" w:color="auto"/>
        <w:right w:val="none" w:sz="0" w:space="0" w:color="auto"/>
      </w:divBdr>
    </w:div>
    <w:div w:id="1489051379">
      <w:bodyDiv w:val="1"/>
      <w:marLeft w:val="0"/>
      <w:marRight w:val="0"/>
      <w:marTop w:val="0"/>
      <w:marBottom w:val="0"/>
      <w:divBdr>
        <w:top w:val="none" w:sz="0" w:space="0" w:color="auto"/>
        <w:left w:val="none" w:sz="0" w:space="0" w:color="auto"/>
        <w:bottom w:val="none" w:sz="0" w:space="0" w:color="auto"/>
        <w:right w:val="none" w:sz="0" w:space="0" w:color="auto"/>
      </w:divBdr>
      <w:divsChild>
        <w:div w:id="1300182569">
          <w:marLeft w:val="0"/>
          <w:marRight w:val="0"/>
          <w:marTop w:val="0"/>
          <w:marBottom w:val="0"/>
          <w:divBdr>
            <w:top w:val="none" w:sz="0" w:space="0" w:color="auto"/>
            <w:left w:val="none" w:sz="0" w:space="0" w:color="auto"/>
            <w:bottom w:val="none" w:sz="0" w:space="0" w:color="auto"/>
            <w:right w:val="none" w:sz="0" w:space="0" w:color="auto"/>
          </w:divBdr>
        </w:div>
      </w:divsChild>
    </w:div>
    <w:div w:id="1489781736">
      <w:bodyDiv w:val="1"/>
      <w:marLeft w:val="0"/>
      <w:marRight w:val="0"/>
      <w:marTop w:val="0"/>
      <w:marBottom w:val="0"/>
      <w:divBdr>
        <w:top w:val="none" w:sz="0" w:space="0" w:color="auto"/>
        <w:left w:val="none" w:sz="0" w:space="0" w:color="auto"/>
        <w:bottom w:val="none" w:sz="0" w:space="0" w:color="auto"/>
        <w:right w:val="none" w:sz="0" w:space="0" w:color="auto"/>
      </w:divBdr>
      <w:divsChild>
        <w:div w:id="1088504892">
          <w:marLeft w:val="0"/>
          <w:marRight w:val="0"/>
          <w:marTop w:val="0"/>
          <w:marBottom w:val="0"/>
          <w:divBdr>
            <w:top w:val="none" w:sz="0" w:space="0" w:color="auto"/>
            <w:left w:val="none" w:sz="0" w:space="0" w:color="auto"/>
            <w:bottom w:val="none" w:sz="0" w:space="0" w:color="auto"/>
            <w:right w:val="none" w:sz="0" w:space="0" w:color="auto"/>
          </w:divBdr>
        </w:div>
      </w:divsChild>
    </w:div>
    <w:div w:id="1497569130">
      <w:bodyDiv w:val="1"/>
      <w:marLeft w:val="0"/>
      <w:marRight w:val="0"/>
      <w:marTop w:val="0"/>
      <w:marBottom w:val="0"/>
      <w:divBdr>
        <w:top w:val="none" w:sz="0" w:space="0" w:color="auto"/>
        <w:left w:val="none" w:sz="0" w:space="0" w:color="auto"/>
        <w:bottom w:val="none" w:sz="0" w:space="0" w:color="auto"/>
        <w:right w:val="none" w:sz="0" w:space="0" w:color="auto"/>
      </w:divBdr>
    </w:div>
    <w:div w:id="1508204308">
      <w:bodyDiv w:val="1"/>
      <w:marLeft w:val="0"/>
      <w:marRight w:val="0"/>
      <w:marTop w:val="0"/>
      <w:marBottom w:val="0"/>
      <w:divBdr>
        <w:top w:val="none" w:sz="0" w:space="0" w:color="auto"/>
        <w:left w:val="none" w:sz="0" w:space="0" w:color="auto"/>
        <w:bottom w:val="none" w:sz="0" w:space="0" w:color="auto"/>
        <w:right w:val="none" w:sz="0" w:space="0" w:color="auto"/>
      </w:divBdr>
      <w:divsChild>
        <w:div w:id="379012390">
          <w:marLeft w:val="0"/>
          <w:marRight w:val="0"/>
          <w:marTop w:val="0"/>
          <w:marBottom w:val="0"/>
          <w:divBdr>
            <w:top w:val="none" w:sz="0" w:space="0" w:color="auto"/>
            <w:left w:val="none" w:sz="0" w:space="0" w:color="auto"/>
            <w:bottom w:val="none" w:sz="0" w:space="0" w:color="auto"/>
            <w:right w:val="none" w:sz="0" w:space="0" w:color="auto"/>
          </w:divBdr>
          <w:divsChild>
            <w:div w:id="1785804254">
              <w:marLeft w:val="0"/>
              <w:marRight w:val="0"/>
              <w:marTop w:val="0"/>
              <w:marBottom w:val="0"/>
              <w:divBdr>
                <w:top w:val="none" w:sz="0" w:space="0" w:color="auto"/>
                <w:left w:val="none" w:sz="0" w:space="0" w:color="auto"/>
                <w:bottom w:val="none" w:sz="0" w:space="0" w:color="auto"/>
                <w:right w:val="none" w:sz="0" w:space="0" w:color="auto"/>
              </w:divBdr>
            </w:div>
            <w:div w:id="647787793">
              <w:marLeft w:val="0"/>
              <w:marRight w:val="0"/>
              <w:marTop w:val="0"/>
              <w:marBottom w:val="0"/>
              <w:divBdr>
                <w:top w:val="none" w:sz="0" w:space="0" w:color="auto"/>
                <w:left w:val="none" w:sz="0" w:space="0" w:color="auto"/>
                <w:bottom w:val="none" w:sz="0" w:space="0" w:color="auto"/>
                <w:right w:val="none" w:sz="0" w:space="0" w:color="auto"/>
              </w:divBdr>
            </w:div>
            <w:div w:id="984970147">
              <w:marLeft w:val="0"/>
              <w:marRight w:val="0"/>
              <w:marTop w:val="0"/>
              <w:marBottom w:val="0"/>
              <w:divBdr>
                <w:top w:val="none" w:sz="0" w:space="0" w:color="auto"/>
                <w:left w:val="none" w:sz="0" w:space="0" w:color="auto"/>
                <w:bottom w:val="none" w:sz="0" w:space="0" w:color="auto"/>
                <w:right w:val="none" w:sz="0" w:space="0" w:color="auto"/>
              </w:divBdr>
            </w:div>
            <w:div w:id="1447112886">
              <w:marLeft w:val="0"/>
              <w:marRight w:val="0"/>
              <w:marTop w:val="0"/>
              <w:marBottom w:val="0"/>
              <w:divBdr>
                <w:top w:val="none" w:sz="0" w:space="0" w:color="auto"/>
                <w:left w:val="none" w:sz="0" w:space="0" w:color="auto"/>
                <w:bottom w:val="none" w:sz="0" w:space="0" w:color="auto"/>
                <w:right w:val="none" w:sz="0" w:space="0" w:color="auto"/>
              </w:divBdr>
            </w:div>
            <w:div w:id="1207912051">
              <w:marLeft w:val="0"/>
              <w:marRight w:val="0"/>
              <w:marTop w:val="0"/>
              <w:marBottom w:val="0"/>
              <w:divBdr>
                <w:top w:val="none" w:sz="0" w:space="0" w:color="auto"/>
                <w:left w:val="none" w:sz="0" w:space="0" w:color="auto"/>
                <w:bottom w:val="none" w:sz="0" w:space="0" w:color="auto"/>
                <w:right w:val="none" w:sz="0" w:space="0" w:color="auto"/>
              </w:divBdr>
            </w:div>
            <w:div w:id="1152135797">
              <w:marLeft w:val="0"/>
              <w:marRight w:val="0"/>
              <w:marTop w:val="0"/>
              <w:marBottom w:val="0"/>
              <w:divBdr>
                <w:top w:val="none" w:sz="0" w:space="0" w:color="auto"/>
                <w:left w:val="none" w:sz="0" w:space="0" w:color="auto"/>
                <w:bottom w:val="none" w:sz="0" w:space="0" w:color="auto"/>
                <w:right w:val="none" w:sz="0" w:space="0" w:color="auto"/>
              </w:divBdr>
            </w:div>
            <w:div w:id="1518038261">
              <w:marLeft w:val="0"/>
              <w:marRight w:val="0"/>
              <w:marTop w:val="0"/>
              <w:marBottom w:val="0"/>
              <w:divBdr>
                <w:top w:val="none" w:sz="0" w:space="0" w:color="auto"/>
                <w:left w:val="none" w:sz="0" w:space="0" w:color="auto"/>
                <w:bottom w:val="none" w:sz="0" w:space="0" w:color="auto"/>
                <w:right w:val="none" w:sz="0" w:space="0" w:color="auto"/>
              </w:divBdr>
            </w:div>
            <w:div w:id="496650996">
              <w:marLeft w:val="0"/>
              <w:marRight w:val="0"/>
              <w:marTop w:val="0"/>
              <w:marBottom w:val="0"/>
              <w:divBdr>
                <w:top w:val="none" w:sz="0" w:space="0" w:color="auto"/>
                <w:left w:val="none" w:sz="0" w:space="0" w:color="auto"/>
                <w:bottom w:val="none" w:sz="0" w:space="0" w:color="auto"/>
                <w:right w:val="none" w:sz="0" w:space="0" w:color="auto"/>
              </w:divBdr>
            </w:div>
            <w:div w:id="884217699">
              <w:marLeft w:val="0"/>
              <w:marRight w:val="0"/>
              <w:marTop w:val="0"/>
              <w:marBottom w:val="0"/>
              <w:divBdr>
                <w:top w:val="none" w:sz="0" w:space="0" w:color="auto"/>
                <w:left w:val="none" w:sz="0" w:space="0" w:color="auto"/>
                <w:bottom w:val="none" w:sz="0" w:space="0" w:color="auto"/>
                <w:right w:val="none" w:sz="0" w:space="0" w:color="auto"/>
              </w:divBdr>
            </w:div>
            <w:div w:id="504636011">
              <w:marLeft w:val="0"/>
              <w:marRight w:val="0"/>
              <w:marTop w:val="0"/>
              <w:marBottom w:val="0"/>
              <w:divBdr>
                <w:top w:val="none" w:sz="0" w:space="0" w:color="auto"/>
                <w:left w:val="none" w:sz="0" w:space="0" w:color="auto"/>
                <w:bottom w:val="none" w:sz="0" w:space="0" w:color="auto"/>
                <w:right w:val="none" w:sz="0" w:space="0" w:color="auto"/>
              </w:divBdr>
            </w:div>
            <w:div w:id="1457019256">
              <w:marLeft w:val="0"/>
              <w:marRight w:val="0"/>
              <w:marTop w:val="0"/>
              <w:marBottom w:val="0"/>
              <w:divBdr>
                <w:top w:val="none" w:sz="0" w:space="0" w:color="auto"/>
                <w:left w:val="none" w:sz="0" w:space="0" w:color="auto"/>
                <w:bottom w:val="none" w:sz="0" w:space="0" w:color="auto"/>
                <w:right w:val="none" w:sz="0" w:space="0" w:color="auto"/>
              </w:divBdr>
            </w:div>
            <w:div w:id="28378847">
              <w:marLeft w:val="0"/>
              <w:marRight w:val="0"/>
              <w:marTop w:val="0"/>
              <w:marBottom w:val="0"/>
              <w:divBdr>
                <w:top w:val="none" w:sz="0" w:space="0" w:color="auto"/>
                <w:left w:val="none" w:sz="0" w:space="0" w:color="auto"/>
                <w:bottom w:val="none" w:sz="0" w:space="0" w:color="auto"/>
                <w:right w:val="none" w:sz="0" w:space="0" w:color="auto"/>
              </w:divBdr>
            </w:div>
          </w:divsChild>
        </w:div>
        <w:div w:id="389891534">
          <w:marLeft w:val="0"/>
          <w:marRight w:val="0"/>
          <w:marTop w:val="0"/>
          <w:marBottom w:val="0"/>
          <w:divBdr>
            <w:top w:val="none" w:sz="0" w:space="0" w:color="auto"/>
            <w:left w:val="none" w:sz="0" w:space="0" w:color="auto"/>
            <w:bottom w:val="none" w:sz="0" w:space="0" w:color="auto"/>
            <w:right w:val="none" w:sz="0" w:space="0" w:color="auto"/>
          </w:divBdr>
          <w:divsChild>
            <w:div w:id="303317903">
              <w:marLeft w:val="0"/>
              <w:marRight w:val="0"/>
              <w:marTop w:val="0"/>
              <w:marBottom w:val="0"/>
              <w:divBdr>
                <w:top w:val="none" w:sz="0" w:space="0" w:color="auto"/>
                <w:left w:val="none" w:sz="0" w:space="0" w:color="auto"/>
                <w:bottom w:val="none" w:sz="0" w:space="0" w:color="auto"/>
                <w:right w:val="none" w:sz="0" w:space="0" w:color="auto"/>
              </w:divBdr>
            </w:div>
            <w:div w:id="1366446974">
              <w:marLeft w:val="0"/>
              <w:marRight w:val="0"/>
              <w:marTop w:val="0"/>
              <w:marBottom w:val="0"/>
              <w:divBdr>
                <w:top w:val="none" w:sz="0" w:space="0" w:color="auto"/>
                <w:left w:val="none" w:sz="0" w:space="0" w:color="auto"/>
                <w:bottom w:val="none" w:sz="0" w:space="0" w:color="auto"/>
                <w:right w:val="none" w:sz="0" w:space="0" w:color="auto"/>
              </w:divBdr>
            </w:div>
            <w:div w:id="904753338">
              <w:marLeft w:val="0"/>
              <w:marRight w:val="0"/>
              <w:marTop w:val="0"/>
              <w:marBottom w:val="0"/>
              <w:divBdr>
                <w:top w:val="none" w:sz="0" w:space="0" w:color="auto"/>
                <w:left w:val="none" w:sz="0" w:space="0" w:color="auto"/>
                <w:bottom w:val="none" w:sz="0" w:space="0" w:color="auto"/>
                <w:right w:val="none" w:sz="0" w:space="0" w:color="auto"/>
              </w:divBdr>
            </w:div>
            <w:div w:id="1829596056">
              <w:marLeft w:val="0"/>
              <w:marRight w:val="0"/>
              <w:marTop w:val="0"/>
              <w:marBottom w:val="0"/>
              <w:divBdr>
                <w:top w:val="none" w:sz="0" w:space="0" w:color="auto"/>
                <w:left w:val="none" w:sz="0" w:space="0" w:color="auto"/>
                <w:bottom w:val="none" w:sz="0" w:space="0" w:color="auto"/>
                <w:right w:val="none" w:sz="0" w:space="0" w:color="auto"/>
              </w:divBdr>
            </w:div>
            <w:div w:id="374739294">
              <w:marLeft w:val="0"/>
              <w:marRight w:val="0"/>
              <w:marTop w:val="0"/>
              <w:marBottom w:val="0"/>
              <w:divBdr>
                <w:top w:val="none" w:sz="0" w:space="0" w:color="auto"/>
                <w:left w:val="none" w:sz="0" w:space="0" w:color="auto"/>
                <w:bottom w:val="none" w:sz="0" w:space="0" w:color="auto"/>
                <w:right w:val="none" w:sz="0" w:space="0" w:color="auto"/>
              </w:divBdr>
            </w:div>
            <w:div w:id="2146778314">
              <w:marLeft w:val="0"/>
              <w:marRight w:val="0"/>
              <w:marTop w:val="0"/>
              <w:marBottom w:val="0"/>
              <w:divBdr>
                <w:top w:val="none" w:sz="0" w:space="0" w:color="auto"/>
                <w:left w:val="none" w:sz="0" w:space="0" w:color="auto"/>
                <w:bottom w:val="none" w:sz="0" w:space="0" w:color="auto"/>
                <w:right w:val="none" w:sz="0" w:space="0" w:color="auto"/>
              </w:divBdr>
            </w:div>
            <w:div w:id="1172262334">
              <w:marLeft w:val="0"/>
              <w:marRight w:val="0"/>
              <w:marTop w:val="0"/>
              <w:marBottom w:val="0"/>
              <w:divBdr>
                <w:top w:val="none" w:sz="0" w:space="0" w:color="auto"/>
                <w:left w:val="none" w:sz="0" w:space="0" w:color="auto"/>
                <w:bottom w:val="none" w:sz="0" w:space="0" w:color="auto"/>
                <w:right w:val="none" w:sz="0" w:space="0" w:color="auto"/>
              </w:divBdr>
            </w:div>
            <w:div w:id="111172359">
              <w:marLeft w:val="0"/>
              <w:marRight w:val="0"/>
              <w:marTop w:val="0"/>
              <w:marBottom w:val="0"/>
              <w:divBdr>
                <w:top w:val="none" w:sz="0" w:space="0" w:color="auto"/>
                <w:left w:val="none" w:sz="0" w:space="0" w:color="auto"/>
                <w:bottom w:val="none" w:sz="0" w:space="0" w:color="auto"/>
                <w:right w:val="none" w:sz="0" w:space="0" w:color="auto"/>
              </w:divBdr>
            </w:div>
            <w:div w:id="734281222">
              <w:marLeft w:val="0"/>
              <w:marRight w:val="0"/>
              <w:marTop w:val="0"/>
              <w:marBottom w:val="0"/>
              <w:divBdr>
                <w:top w:val="none" w:sz="0" w:space="0" w:color="auto"/>
                <w:left w:val="none" w:sz="0" w:space="0" w:color="auto"/>
                <w:bottom w:val="none" w:sz="0" w:space="0" w:color="auto"/>
                <w:right w:val="none" w:sz="0" w:space="0" w:color="auto"/>
              </w:divBdr>
            </w:div>
            <w:div w:id="169105815">
              <w:marLeft w:val="0"/>
              <w:marRight w:val="0"/>
              <w:marTop w:val="0"/>
              <w:marBottom w:val="0"/>
              <w:divBdr>
                <w:top w:val="none" w:sz="0" w:space="0" w:color="auto"/>
                <w:left w:val="none" w:sz="0" w:space="0" w:color="auto"/>
                <w:bottom w:val="none" w:sz="0" w:space="0" w:color="auto"/>
                <w:right w:val="none" w:sz="0" w:space="0" w:color="auto"/>
              </w:divBdr>
            </w:div>
            <w:div w:id="198051333">
              <w:marLeft w:val="0"/>
              <w:marRight w:val="0"/>
              <w:marTop w:val="0"/>
              <w:marBottom w:val="0"/>
              <w:divBdr>
                <w:top w:val="none" w:sz="0" w:space="0" w:color="auto"/>
                <w:left w:val="none" w:sz="0" w:space="0" w:color="auto"/>
                <w:bottom w:val="none" w:sz="0" w:space="0" w:color="auto"/>
                <w:right w:val="none" w:sz="0" w:space="0" w:color="auto"/>
              </w:divBdr>
            </w:div>
            <w:div w:id="105926332">
              <w:marLeft w:val="0"/>
              <w:marRight w:val="0"/>
              <w:marTop w:val="0"/>
              <w:marBottom w:val="0"/>
              <w:divBdr>
                <w:top w:val="none" w:sz="0" w:space="0" w:color="auto"/>
                <w:left w:val="none" w:sz="0" w:space="0" w:color="auto"/>
                <w:bottom w:val="none" w:sz="0" w:space="0" w:color="auto"/>
                <w:right w:val="none" w:sz="0" w:space="0" w:color="auto"/>
              </w:divBdr>
            </w:div>
            <w:div w:id="521093020">
              <w:marLeft w:val="0"/>
              <w:marRight w:val="0"/>
              <w:marTop w:val="0"/>
              <w:marBottom w:val="0"/>
              <w:divBdr>
                <w:top w:val="none" w:sz="0" w:space="0" w:color="auto"/>
                <w:left w:val="none" w:sz="0" w:space="0" w:color="auto"/>
                <w:bottom w:val="none" w:sz="0" w:space="0" w:color="auto"/>
                <w:right w:val="none" w:sz="0" w:space="0" w:color="auto"/>
              </w:divBdr>
            </w:div>
            <w:div w:id="460609439">
              <w:marLeft w:val="0"/>
              <w:marRight w:val="0"/>
              <w:marTop w:val="0"/>
              <w:marBottom w:val="0"/>
              <w:divBdr>
                <w:top w:val="none" w:sz="0" w:space="0" w:color="auto"/>
                <w:left w:val="none" w:sz="0" w:space="0" w:color="auto"/>
                <w:bottom w:val="none" w:sz="0" w:space="0" w:color="auto"/>
                <w:right w:val="none" w:sz="0" w:space="0" w:color="auto"/>
              </w:divBdr>
            </w:div>
            <w:div w:id="1444694612">
              <w:marLeft w:val="0"/>
              <w:marRight w:val="0"/>
              <w:marTop w:val="0"/>
              <w:marBottom w:val="0"/>
              <w:divBdr>
                <w:top w:val="none" w:sz="0" w:space="0" w:color="auto"/>
                <w:left w:val="none" w:sz="0" w:space="0" w:color="auto"/>
                <w:bottom w:val="none" w:sz="0" w:space="0" w:color="auto"/>
                <w:right w:val="none" w:sz="0" w:space="0" w:color="auto"/>
              </w:divBdr>
            </w:div>
            <w:div w:id="1859154417">
              <w:marLeft w:val="0"/>
              <w:marRight w:val="0"/>
              <w:marTop w:val="0"/>
              <w:marBottom w:val="0"/>
              <w:divBdr>
                <w:top w:val="none" w:sz="0" w:space="0" w:color="auto"/>
                <w:left w:val="none" w:sz="0" w:space="0" w:color="auto"/>
                <w:bottom w:val="none" w:sz="0" w:space="0" w:color="auto"/>
                <w:right w:val="none" w:sz="0" w:space="0" w:color="auto"/>
              </w:divBdr>
            </w:div>
            <w:div w:id="1625694824">
              <w:marLeft w:val="0"/>
              <w:marRight w:val="0"/>
              <w:marTop w:val="0"/>
              <w:marBottom w:val="0"/>
              <w:divBdr>
                <w:top w:val="none" w:sz="0" w:space="0" w:color="auto"/>
                <w:left w:val="none" w:sz="0" w:space="0" w:color="auto"/>
                <w:bottom w:val="none" w:sz="0" w:space="0" w:color="auto"/>
                <w:right w:val="none" w:sz="0" w:space="0" w:color="auto"/>
              </w:divBdr>
            </w:div>
            <w:div w:id="1060248689">
              <w:marLeft w:val="0"/>
              <w:marRight w:val="0"/>
              <w:marTop w:val="0"/>
              <w:marBottom w:val="0"/>
              <w:divBdr>
                <w:top w:val="none" w:sz="0" w:space="0" w:color="auto"/>
                <w:left w:val="none" w:sz="0" w:space="0" w:color="auto"/>
                <w:bottom w:val="none" w:sz="0" w:space="0" w:color="auto"/>
                <w:right w:val="none" w:sz="0" w:space="0" w:color="auto"/>
              </w:divBdr>
            </w:div>
            <w:div w:id="1326974983">
              <w:marLeft w:val="0"/>
              <w:marRight w:val="0"/>
              <w:marTop w:val="0"/>
              <w:marBottom w:val="0"/>
              <w:divBdr>
                <w:top w:val="none" w:sz="0" w:space="0" w:color="auto"/>
                <w:left w:val="none" w:sz="0" w:space="0" w:color="auto"/>
                <w:bottom w:val="none" w:sz="0" w:space="0" w:color="auto"/>
                <w:right w:val="none" w:sz="0" w:space="0" w:color="auto"/>
              </w:divBdr>
            </w:div>
            <w:div w:id="590435928">
              <w:marLeft w:val="0"/>
              <w:marRight w:val="0"/>
              <w:marTop w:val="0"/>
              <w:marBottom w:val="0"/>
              <w:divBdr>
                <w:top w:val="none" w:sz="0" w:space="0" w:color="auto"/>
                <w:left w:val="none" w:sz="0" w:space="0" w:color="auto"/>
                <w:bottom w:val="none" w:sz="0" w:space="0" w:color="auto"/>
                <w:right w:val="none" w:sz="0" w:space="0" w:color="auto"/>
              </w:divBdr>
            </w:div>
          </w:divsChild>
        </w:div>
        <w:div w:id="1633096213">
          <w:marLeft w:val="0"/>
          <w:marRight w:val="0"/>
          <w:marTop w:val="0"/>
          <w:marBottom w:val="0"/>
          <w:divBdr>
            <w:top w:val="none" w:sz="0" w:space="0" w:color="auto"/>
            <w:left w:val="none" w:sz="0" w:space="0" w:color="auto"/>
            <w:bottom w:val="none" w:sz="0" w:space="0" w:color="auto"/>
            <w:right w:val="none" w:sz="0" w:space="0" w:color="auto"/>
          </w:divBdr>
          <w:divsChild>
            <w:div w:id="120615231">
              <w:marLeft w:val="0"/>
              <w:marRight w:val="0"/>
              <w:marTop w:val="0"/>
              <w:marBottom w:val="0"/>
              <w:divBdr>
                <w:top w:val="none" w:sz="0" w:space="0" w:color="auto"/>
                <w:left w:val="none" w:sz="0" w:space="0" w:color="auto"/>
                <w:bottom w:val="none" w:sz="0" w:space="0" w:color="auto"/>
                <w:right w:val="none" w:sz="0" w:space="0" w:color="auto"/>
              </w:divBdr>
            </w:div>
            <w:div w:id="1447309089">
              <w:marLeft w:val="0"/>
              <w:marRight w:val="0"/>
              <w:marTop w:val="0"/>
              <w:marBottom w:val="0"/>
              <w:divBdr>
                <w:top w:val="none" w:sz="0" w:space="0" w:color="auto"/>
                <w:left w:val="none" w:sz="0" w:space="0" w:color="auto"/>
                <w:bottom w:val="none" w:sz="0" w:space="0" w:color="auto"/>
                <w:right w:val="none" w:sz="0" w:space="0" w:color="auto"/>
              </w:divBdr>
            </w:div>
            <w:div w:id="57243546">
              <w:marLeft w:val="0"/>
              <w:marRight w:val="0"/>
              <w:marTop w:val="0"/>
              <w:marBottom w:val="0"/>
              <w:divBdr>
                <w:top w:val="none" w:sz="0" w:space="0" w:color="auto"/>
                <w:left w:val="none" w:sz="0" w:space="0" w:color="auto"/>
                <w:bottom w:val="none" w:sz="0" w:space="0" w:color="auto"/>
                <w:right w:val="none" w:sz="0" w:space="0" w:color="auto"/>
              </w:divBdr>
            </w:div>
            <w:div w:id="247689189">
              <w:marLeft w:val="0"/>
              <w:marRight w:val="0"/>
              <w:marTop w:val="0"/>
              <w:marBottom w:val="0"/>
              <w:divBdr>
                <w:top w:val="none" w:sz="0" w:space="0" w:color="auto"/>
                <w:left w:val="none" w:sz="0" w:space="0" w:color="auto"/>
                <w:bottom w:val="none" w:sz="0" w:space="0" w:color="auto"/>
                <w:right w:val="none" w:sz="0" w:space="0" w:color="auto"/>
              </w:divBdr>
            </w:div>
            <w:div w:id="1589924773">
              <w:marLeft w:val="0"/>
              <w:marRight w:val="0"/>
              <w:marTop w:val="0"/>
              <w:marBottom w:val="0"/>
              <w:divBdr>
                <w:top w:val="none" w:sz="0" w:space="0" w:color="auto"/>
                <w:left w:val="none" w:sz="0" w:space="0" w:color="auto"/>
                <w:bottom w:val="none" w:sz="0" w:space="0" w:color="auto"/>
                <w:right w:val="none" w:sz="0" w:space="0" w:color="auto"/>
              </w:divBdr>
            </w:div>
            <w:div w:id="25493520">
              <w:marLeft w:val="0"/>
              <w:marRight w:val="0"/>
              <w:marTop w:val="0"/>
              <w:marBottom w:val="0"/>
              <w:divBdr>
                <w:top w:val="none" w:sz="0" w:space="0" w:color="auto"/>
                <w:left w:val="none" w:sz="0" w:space="0" w:color="auto"/>
                <w:bottom w:val="none" w:sz="0" w:space="0" w:color="auto"/>
                <w:right w:val="none" w:sz="0" w:space="0" w:color="auto"/>
              </w:divBdr>
            </w:div>
            <w:div w:id="495389862">
              <w:marLeft w:val="0"/>
              <w:marRight w:val="0"/>
              <w:marTop w:val="0"/>
              <w:marBottom w:val="0"/>
              <w:divBdr>
                <w:top w:val="none" w:sz="0" w:space="0" w:color="auto"/>
                <w:left w:val="none" w:sz="0" w:space="0" w:color="auto"/>
                <w:bottom w:val="none" w:sz="0" w:space="0" w:color="auto"/>
                <w:right w:val="none" w:sz="0" w:space="0" w:color="auto"/>
              </w:divBdr>
            </w:div>
            <w:div w:id="2089844213">
              <w:marLeft w:val="0"/>
              <w:marRight w:val="0"/>
              <w:marTop w:val="0"/>
              <w:marBottom w:val="0"/>
              <w:divBdr>
                <w:top w:val="none" w:sz="0" w:space="0" w:color="auto"/>
                <w:left w:val="none" w:sz="0" w:space="0" w:color="auto"/>
                <w:bottom w:val="none" w:sz="0" w:space="0" w:color="auto"/>
                <w:right w:val="none" w:sz="0" w:space="0" w:color="auto"/>
              </w:divBdr>
            </w:div>
            <w:div w:id="1102258183">
              <w:marLeft w:val="0"/>
              <w:marRight w:val="0"/>
              <w:marTop w:val="0"/>
              <w:marBottom w:val="0"/>
              <w:divBdr>
                <w:top w:val="none" w:sz="0" w:space="0" w:color="auto"/>
                <w:left w:val="none" w:sz="0" w:space="0" w:color="auto"/>
                <w:bottom w:val="none" w:sz="0" w:space="0" w:color="auto"/>
                <w:right w:val="none" w:sz="0" w:space="0" w:color="auto"/>
              </w:divBdr>
            </w:div>
            <w:div w:id="1449348008">
              <w:marLeft w:val="0"/>
              <w:marRight w:val="0"/>
              <w:marTop w:val="0"/>
              <w:marBottom w:val="0"/>
              <w:divBdr>
                <w:top w:val="none" w:sz="0" w:space="0" w:color="auto"/>
                <w:left w:val="none" w:sz="0" w:space="0" w:color="auto"/>
                <w:bottom w:val="none" w:sz="0" w:space="0" w:color="auto"/>
                <w:right w:val="none" w:sz="0" w:space="0" w:color="auto"/>
              </w:divBdr>
            </w:div>
            <w:div w:id="1600215135">
              <w:marLeft w:val="0"/>
              <w:marRight w:val="0"/>
              <w:marTop w:val="0"/>
              <w:marBottom w:val="0"/>
              <w:divBdr>
                <w:top w:val="none" w:sz="0" w:space="0" w:color="auto"/>
                <w:left w:val="none" w:sz="0" w:space="0" w:color="auto"/>
                <w:bottom w:val="none" w:sz="0" w:space="0" w:color="auto"/>
                <w:right w:val="none" w:sz="0" w:space="0" w:color="auto"/>
              </w:divBdr>
            </w:div>
            <w:div w:id="1744722366">
              <w:marLeft w:val="0"/>
              <w:marRight w:val="0"/>
              <w:marTop w:val="0"/>
              <w:marBottom w:val="0"/>
              <w:divBdr>
                <w:top w:val="none" w:sz="0" w:space="0" w:color="auto"/>
                <w:left w:val="none" w:sz="0" w:space="0" w:color="auto"/>
                <w:bottom w:val="none" w:sz="0" w:space="0" w:color="auto"/>
                <w:right w:val="none" w:sz="0" w:space="0" w:color="auto"/>
              </w:divBdr>
            </w:div>
            <w:div w:id="631636038">
              <w:marLeft w:val="0"/>
              <w:marRight w:val="0"/>
              <w:marTop w:val="0"/>
              <w:marBottom w:val="0"/>
              <w:divBdr>
                <w:top w:val="none" w:sz="0" w:space="0" w:color="auto"/>
                <w:left w:val="none" w:sz="0" w:space="0" w:color="auto"/>
                <w:bottom w:val="none" w:sz="0" w:space="0" w:color="auto"/>
                <w:right w:val="none" w:sz="0" w:space="0" w:color="auto"/>
              </w:divBdr>
            </w:div>
            <w:div w:id="802429259">
              <w:marLeft w:val="0"/>
              <w:marRight w:val="0"/>
              <w:marTop w:val="0"/>
              <w:marBottom w:val="0"/>
              <w:divBdr>
                <w:top w:val="none" w:sz="0" w:space="0" w:color="auto"/>
                <w:left w:val="none" w:sz="0" w:space="0" w:color="auto"/>
                <w:bottom w:val="none" w:sz="0" w:space="0" w:color="auto"/>
                <w:right w:val="none" w:sz="0" w:space="0" w:color="auto"/>
              </w:divBdr>
            </w:div>
            <w:div w:id="597106098">
              <w:marLeft w:val="0"/>
              <w:marRight w:val="0"/>
              <w:marTop w:val="0"/>
              <w:marBottom w:val="0"/>
              <w:divBdr>
                <w:top w:val="none" w:sz="0" w:space="0" w:color="auto"/>
                <w:left w:val="none" w:sz="0" w:space="0" w:color="auto"/>
                <w:bottom w:val="none" w:sz="0" w:space="0" w:color="auto"/>
                <w:right w:val="none" w:sz="0" w:space="0" w:color="auto"/>
              </w:divBdr>
            </w:div>
            <w:div w:id="902643836">
              <w:marLeft w:val="0"/>
              <w:marRight w:val="0"/>
              <w:marTop w:val="0"/>
              <w:marBottom w:val="0"/>
              <w:divBdr>
                <w:top w:val="none" w:sz="0" w:space="0" w:color="auto"/>
                <w:left w:val="none" w:sz="0" w:space="0" w:color="auto"/>
                <w:bottom w:val="none" w:sz="0" w:space="0" w:color="auto"/>
                <w:right w:val="none" w:sz="0" w:space="0" w:color="auto"/>
              </w:divBdr>
            </w:div>
            <w:div w:id="1715080490">
              <w:marLeft w:val="0"/>
              <w:marRight w:val="0"/>
              <w:marTop w:val="0"/>
              <w:marBottom w:val="0"/>
              <w:divBdr>
                <w:top w:val="none" w:sz="0" w:space="0" w:color="auto"/>
                <w:left w:val="none" w:sz="0" w:space="0" w:color="auto"/>
                <w:bottom w:val="none" w:sz="0" w:space="0" w:color="auto"/>
                <w:right w:val="none" w:sz="0" w:space="0" w:color="auto"/>
              </w:divBdr>
            </w:div>
            <w:div w:id="304243649">
              <w:marLeft w:val="0"/>
              <w:marRight w:val="0"/>
              <w:marTop w:val="0"/>
              <w:marBottom w:val="0"/>
              <w:divBdr>
                <w:top w:val="none" w:sz="0" w:space="0" w:color="auto"/>
                <w:left w:val="none" w:sz="0" w:space="0" w:color="auto"/>
                <w:bottom w:val="none" w:sz="0" w:space="0" w:color="auto"/>
                <w:right w:val="none" w:sz="0" w:space="0" w:color="auto"/>
              </w:divBdr>
            </w:div>
            <w:div w:id="78333716">
              <w:marLeft w:val="0"/>
              <w:marRight w:val="0"/>
              <w:marTop w:val="0"/>
              <w:marBottom w:val="0"/>
              <w:divBdr>
                <w:top w:val="none" w:sz="0" w:space="0" w:color="auto"/>
                <w:left w:val="none" w:sz="0" w:space="0" w:color="auto"/>
                <w:bottom w:val="none" w:sz="0" w:space="0" w:color="auto"/>
                <w:right w:val="none" w:sz="0" w:space="0" w:color="auto"/>
              </w:divBdr>
            </w:div>
            <w:div w:id="1703050371">
              <w:marLeft w:val="0"/>
              <w:marRight w:val="0"/>
              <w:marTop w:val="0"/>
              <w:marBottom w:val="0"/>
              <w:divBdr>
                <w:top w:val="none" w:sz="0" w:space="0" w:color="auto"/>
                <w:left w:val="none" w:sz="0" w:space="0" w:color="auto"/>
                <w:bottom w:val="none" w:sz="0" w:space="0" w:color="auto"/>
                <w:right w:val="none" w:sz="0" w:space="0" w:color="auto"/>
              </w:divBdr>
            </w:div>
          </w:divsChild>
        </w:div>
        <w:div w:id="1196508344">
          <w:marLeft w:val="0"/>
          <w:marRight w:val="0"/>
          <w:marTop w:val="0"/>
          <w:marBottom w:val="0"/>
          <w:divBdr>
            <w:top w:val="none" w:sz="0" w:space="0" w:color="auto"/>
            <w:left w:val="none" w:sz="0" w:space="0" w:color="auto"/>
            <w:bottom w:val="none" w:sz="0" w:space="0" w:color="auto"/>
            <w:right w:val="none" w:sz="0" w:space="0" w:color="auto"/>
          </w:divBdr>
          <w:divsChild>
            <w:div w:id="229847306">
              <w:marLeft w:val="0"/>
              <w:marRight w:val="0"/>
              <w:marTop w:val="0"/>
              <w:marBottom w:val="0"/>
              <w:divBdr>
                <w:top w:val="none" w:sz="0" w:space="0" w:color="auto"/>
                <w:left w:val="none" w:sz="0" w:space="0" w:color="auto"/>
                <w:bottom w:val="none" w:sz="0" w:space="0" w:color="auto"/>
                <w:right w:val="none" w:sz="0" w:space="0" w:color="auto"/>
              </w:divBdr>
            </w:div>
            <w:div w:id="1904683618">
              <w:marLeft w:val="0"/>
              <w:marRight w:val="0"/>
              <w:marTop w:val="0"/>
              <w:marBottom w:val="0"/>
              <w:divBdr>
                <w:top w:val="none" w:sz="0" w:space="0" w:color="auto"/>
                <w:left w:val="none" w:sz="0" w:space="0" w:color="auto"/>
                <w:bottom w:val="none" w:sz="0" w:space="0" w:color="auto"/>
                <w:right w:val="none" w:sz="0" w:space="0" w:color="auto"/>
              </w:divBdr>
            </w:div>
            <w:div w:id="1714500308">
              <w:marLeft w:val="0"/>
              <w:marRight w:val="0"/>
              <w:marTop w:val="0"/>
              <w:marBottom w:val="0"/>
              <w:divBdr>
                <w:top w:val="none" w:sz="0" w:space="0" w:color="auto"/>
                <w:left w:val="none" w:sz="0" w:space="0" w:color="auto"/>
                <w:bottom w:val="none" w:sz="0" w:space="0" w:color="auto"/>
                <w:right w:val="none" w:sz="0" w:space="0" w:color="auto"/>
              </w:divBdr>
            </w:div>
            <w:div w:id="313460858">
              <w:marLeft w:val="0"/>
              <w:marRight w:val="0"/>
              <w:marTop w:val="0"/>
              <w:marBottom w:val="0"/>
              <w:divBdr>
                <w:top w:val="none" w:sz="0" w:space="0" w:color="auto"/>
                <w:left w:val="none" w:sz="0" w:space="0" w:color="auto"/>
                <w:bottom w:val="none" w:sz="0" w:space="0" w:color="auto"/>
                <w:right w:val="none" w:sz="0" w:space="0" w:color="auto"/>
              </w:divBdr>
            </w:div>
            <w:div w:id="1566329266">
              <w:marLeft w:val="0"/>
              <w:marRight w:val="0"/>
              <w:marTop w:val="0"/>
              <w:marBottom w:val="0"/>
              <w:divBdr>
                <w:top w:val="none" w:sz="0" w:space="0" w:color="auto"/>
                <w:left w:val="none" w:sz="0" w:space="0" w:color="auto"/>
                <w:bottom w:val="none" w:sz="0" w:space="0" w:color="auto"/>
                <w:right w:val="none" w:sz="0" w:space="0" w:color="auto"/>
              </w:divBdr>
            </w:div>
            <w:div w:id="1604724437">
              <w:marLeft w:val="0"/>
              <w:marRight w:val="0"/>
              <w:marTop w:val="0"/>
              <w:marBottom w:val="0"/>
              <w:divBdr>
                <w:top w:val="none" w:sz="0" w:space="0" w:color="auto"/>
                <w:left w:val="none" w:sz="0" w:space="0" w:color="auto"/>
                <w:bottom w:val="none" w:sz="0" w:space="0" w:color="auto"/>
                <w:right w:val="none" w:sz="0" w:space="0" w:color="auto"/>
              </w:divBdr>
            </w:div>
            <w:div w:id="1495145119">
              <w:marLeft w:val="0"/>
              <w:marRight w:val="0"/>
              <w:marTop w:val="0"/>
              <w:marBottom w:val="0"/>
              <w:divBdr>
                <w:top w:val="none" w:sz="0" w:space="0" w:color="auto"/>
                <w:left w:val="none" w:sz="0" w:space="0" w:color="auto"/>
                <w:bottom w:val="none" w:sz="0" w:space="0" w:color="auto"/>
                <w:right w:val="none" w:sz="0" w:space="0" w:color="auto"/>
              </w:divBdr>
            </w:div>
            <w:div w:id="1353068614">
              <w:marLeft w:val="0"/>
              <w:marRight w:val="0"/>
              <w:marTop w:val="0"/>
              <w:marBottom w:val="0"/>
              <w:divBdr>
                <w:top w:val="none" w:sz="0" w:space="0" w:color="auto"/>
                <w:left w:val="none" w:sz="0" w:space="0" w:color="auto"/>
                <w:bottom w:val="none" w:sz="0" w:space="0" w:color="auto"/>
                <w:right w:val="none" w:sz="0" w:space="0" w:color="auto"/>
              </w:divBdr>
            </w:div>
            <w:div w:id="168828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342833">
      <w:bodyDiv w:val="1"/>
      <w:marLeft w:val="0"/>
      <w:marRight w:val="0"/>
      <w:marTop w:val="0"/>
      <w:marBottom w:val="0"/>
      <w:divBdr>
        <w:top w:val="none" w:sz="0" w:space="0" w:color="auto"/>
        <w:left w:val="none" w:sz="0" w:space="0" w:color="auto"/>
        <w:bottom w:val="none" w:sz="0" w:space="0" w:color="auto"/>
        <w:right w:val="none" w:sz="0" w:space="0" w:color="auto"/>
      </w:divBdr>
      <w:divsChild>
        <w:div w:id="2052217731">
          <w:marLeft w:val="0"/>
          <w:marRight w:val="0"/>
          <w:marTop w:val="0"/>
          <w:marBottom w:val="0"/>
          <w:divBdr>
            <w:top w:val="none" w:sz="0" w:space="0" w:color="auto"/>
            <w:left w:val="none" w:sz="0" w:space="0" w:color="auto"/>
            <w:bottom w:val="none" w:sz="0" w:space="0" w:color="auto"/>
            <w:right w:val="none" w:sz="0" w:space="0" w:color="auto"/>
          </w:divBdr>
        </w:div>
      </w:divsChild>
    </w:div>
    <w:div w:id="1521117459">
      <w:bodyDiv w:val="1"/>
      <w:marLeft w:val="0"/>
      <w:marRight w:val="0"/>
      <w:marTop w:val="0"/>
      <w:marBottom w:val="0"/>
      <w:divBdr>
        <w:top w:val="none" w:sz="0" w:space="0" w:color="auto"/>
        <w:left w:val="none" w:sz="0" w:space="0" w:color="auto"/>
        <w:bottom w:val="none" w:sz="0" w:space="0" w:color="auto"/>
        <w:right w:val="none" w:sz="0" w:space="0" w:color="auto"/>
      </w:divBdr>
      <w:divsChild>
        <w:div w:id="1157264318">
          <w:marLeft w:val="0"/>
          <w:marRight w:val="0"/>
          <w:marTop w:val="0"/>
          <w:marBottom w:val="0"/>
          <w:divBdr>
            <w:top w:val="none" w:sz="0" w:space="0" w:color="auto"/>
            <w:left w:val="none" w:sz="0" w:space="0" w:color="auto"/>
            <w:bottom w:val="none" w:sz="0" w:space="0" w:color="auto"/>
            <w:right w:val="none" w:sz="0" w:space="0" w:color="auto"/>
          </w:divBdr>
        </w:div>
      </w:divsChild>
    </w:div>
    <w:div w:id="1522666574">
      <w:bodyDiv w:val="1"/>
      <w:marLeft w:val="0"/>
      <w:marRight w:val="0"/>
      <w:marTop w:val="0"/>
      <w:marBottom w:val="0"/>
      <w:divBdr>
        <w:top w:val="none" w:sz="0" w:space="0" w:color="auto"/>
        <w:left w:val="none" w:sz="0" w:space="0" w:color="auto"/>
        <w:bottom w:val="none" w:sz="0" w:space="0" w:color="auto"/>
        <w:right w:val="none" w:sz="0" w:space="0" w:color="auto"/>
      </w:divBdr>
    </w:div>
    <w:div w:id="1535725873">
      <w:bodyDiv w:val="1"/>
      <w:marLeft w:val="0"/>
      <w:marRight w:val="0"/>
      <w:marTop w:val="0"/>
      <w:marBottom w:val="0"/>
      <w:divBdr>
        <w:top w:val="none" w:sz="0" w:space="0" w:color="auto"/>
        <w:left w:val="none" w:sz="0" w:space="0" w:color="auto"/>
        <w:bottom w:val="none" w:sz="0" w:space="0" w:color="auto"/>
        <w:right w:val="none" w:sz="0" w:space="0" w:color="auto"/>
      </w:divBdr>
    </w:div>
    <w:div w:id="1541743040">
      <w:bodyDiv w:val="1"/>
      <w:marLeft w:val="0"/>
      <w:marRight w:val="0"/>
      <w:marTop w:val="0"/>
      <w:marBottom w:val="0"/>
      <w:divBdr>
        <w:top w:val="none" w:sz="0" w:space="0" w:color="auto"/>
        <w:left w:val="none" w:sz="0" w:space="0" w:color="auto"/>
        <w:bottom w:val="none" w:sz="0" w:space="0" w:color="auto"/>
        <w:right w:val="none" w:sz="0" w:space="0" w:color="auto"/>
      </w:divBdr>
    </w:div>
    <w:div w:id="1542938245">
      <w:bodyDiv w:val="1"/>
      <w:marLeft w:val="0"/>
      <w:marRight w:val="0"/>
      <w:marTop w:val="0"/>
      <w:marBottom w:val="0"/>
      <w:divBdr>
        <w:top w:val="none" w:sz="0" w:space="0" w:color="auto"/>
        <w:left w:val="none" w:sz="0" w:space="0" w:color="auto"/>
        <w:bottom w:val="none" w:sz="0" w:space="0" w:color="auto"/>
        <w:right w:val="none" w:sz="0" w:space="0" w:color="auto"/>
      </w:divBdr>
    </w:div>
    <w:div w:id="1547402865">
      <w:bodyDiv w:val="1"/>
      <w:marLeft w:val="0"/>
      <w:marRight w:val="0"/>
      <w:marTop w:val="0"/>
      <w:marBottom w:val="0"/>
      <w:divBdr>
        <w:top w:val="none" w:sz="0" w:space="0" w:color="auto"/>
        <w:left w:val="none" w:sz="0" w:space="0" w:color="auto"/>
        <w:bottom w:val="none" w:sz="0" w:space="0" w:color="auto"/>
        <w:right w:val="none" w:sz="0" w:space="0" w:color="auto"/>
      </w:divBdr>
      <w:divsChild>
        <w:div w:id="1739791531">
          <w:marLeft w:val="0"/>
          <w:marRight w:val="0"/>
          <w:marTop w:val="0"/>
          <w:marBottom w:val="0"/>
          <w:divBdr>
            <w:top w:val="none" w:sz="0" w:space="0" w:color="auto"/>
            <w:left w:val="none" w:sz="0" w:space="0" w:color="auto"/>
            <w:bottom w:val="none" w:sz="0" w:space="0" w:color="auto"/>
            <w:right w:val="none" w:sz="0" w:space="0" w:color="auto"/>
          </w:divBdr>
        </w:div>
      </w:divsChild>
    </w:div>
    <w:div w:id="1554846528">
      <w:bodyDiv w:val="1"/>
      <w:marLeft w:val="0"/>
      <w:marRight w:val="0"/>
      <w:marTop w:val="0"/>
      <w:marBottom w:val="0"/>
      <w:divBdr>
        <w:top w:val="none" w:sz="0" w:space="0" w:color="auto"/>
        <w:left w:val="none" w:sz="0" w:space="0" w:color="auto"/>
        <w:bottom w:val="none" w:sz="0" w:space="0" w:color="auto"/>
        <w:right w:val="none" w:sz="0" w:space="0" w:color="auto"/>
      </w:divBdr>
      <w:divsChild>
        <w:div w:id="2059818522">
          <w:marLeft w:val="0"/>
          <w:marRight w:val="0"/>
          <w:marTop w:val="0"/>
          <w:marBottom w:val="0"/>
          <w:divBdr>
            <w:top w:val="none" w:sz="0" w:space="0" w:color="auto"/>
            <w:left w:val="none" w:sz="0" w:space="0" w:color="auto"/>
            <w:bottom w:val="none" w:sz="0" w:space="0" w:color="auto"/>
            <w:right w:val="none" w:sz="0" w:space="0" w:color="auto"/>
          </w:divBdr>
        </w:div>
        <w:div w:id="1209991816">
          <w:marLeft w:val="0"/>
          <w:marRight w:val="0"/>
          <w:marTop w:val="0"/>
          <w:marBottom w:val="0"/>
          <w:divBdr>
            <w:top w:val="none" w:sz="0" w:space="0" w:color="auto"/>
            <w:left w:val="none" w:sz="0" w:space="0" w:color="auto"/>
            <w:bottom w:val="none" w:sz="0" w:space="0" w:color="auto"/>
            <w:right w:val="none" w:sz="0" w:space="0" w:color="auto"/>
          </w:divBdr>
        </w:div>
        <w:div w:id="1854103472">
          <w:marLeft w:val="0"/>
          <w:marRight w:val="0"/>
          <w:marTop w:val="0"/>
          <w:marBottom w:val="0"/>
          <w:divBdr>
            <w:top w:val="none" w:sz="0" w:space="0" w:color="auto"/>
            <w:left w:val="none" w:sz="0" w:space="0" w:color="auto"/>
            <w:bottom w:val="none" w:sz="0" w:space="0" w:color="auto"/>
            <w:right w:val="none" w:sz="0" w:space="0" w:color="auto"/>
          </w:divBdr>
        </w:div>
        <w:div w:id="2019431068">
          <w:marLeft w:val="0"/>
          <w:marRight w:val="0"/>
          <w:marTop w:val="0"/>
          <w:marBottom w:val="0"/>
          <w:divBdr>
            <w:top w:val="none" w:sz="0" w:space="0" w:color="auto"/>
            <w:left w:val="none" w:sz="0" w:space="0" w:color="auto"/>
            <w:bottom w:val="none" w:sz="0" w:space="0" w:color="auto"/>
            <w:right w:val="none" w:sz="0" w:space="0" w:color="auto"/>
          </w:divBdr>
        </w:div>
        <w:div w:id="1909605632">
          <w:marLeft w:val="0"/>
          <w:marRight w:val="0"/>
          <w:marTop w:val="0"/>
          <w:marBottom w:val="0"/>
          <w:divBdr>
            <w:top w:val="none" w:sz="0" w:space="0" w:color="auto"/>
            <w:left w:val="none" w:sz="0" w:space="0" w:color="auto"/>
            <w:bottom w:val="none" w:sz="0" w:space="0" w:color="auto"/>
            <w:right w:val="none" w:sz="0" w:space="0" w:color="auto"/>
          </w:divBdr>
        </w:div>
        <w:div w:id="151874773">
          <w:marLeft w:val="0"/>
          <w:marRight w:val="0"/>
          <w:marTop w:val="0"/>
          <w:marBottom w:val="0"/>
          <w:divBdr>
            <w:top w:val="none" w:sz="0" w:space="0" w:color="auto"/>
            <w:left w:val="none" w:sz="0" w:space="0" w:color="auto"/>
            <w:bottom w:val="none" w:sz="0" w:space="0" w:color="auto"/>
            <w:right w:val="none" w:sz="0" w:space="0" w:color="auto"/>
          </w:divBdr>
        </w:div>
      </w:divsChild>
    </w:div>
    <w:div w:id="1560095961">
      <w:bodyDiv w:val="1"/>
      <w:marLeft w:val="0"/>
      <w:marRight w:val="0"/>
      <w:marTop w:val="0"/>
      <w:marBottom w:val="0"/>
      <w:divBdr>
        <w:top w:val="none" w:sz="0" w:space="0" w:color="auto"/>
        <w:left w:val="none" w:sz="0" w:space="0" w:color="auto"/>
        <w:bottom w:val="none" w:sz="0" w:space="0" w:color="auto"/>
        <w:right w:val="none" w:sz="0" w:space="0" w:color="auto"/>
      </w:divBdr>
      <w:divsChild>
        <w:div w:id="1187214246">
          <w:marLeft w:val="0"/>
          <w:marRight w:val="0"/>
          <w:marTop w:val="0"/>
          <w:marBottom w:val="0"/>
          <w:divBdr>
            <w:top w:val="none" w:sz="0" w:space="0" w:color="auto"/>
            <w:left w:val="none" w:sz="0" w:space="0" w:color="auto"/>
            <w:bottom w:val="none" w:sz="0" w:space="0" w:color="auto"/>
            <w:right w:val="none" w:sz="0" w:space="0" w:color="auto"/>
          </w:divBdr>
        </w:div>
      </w:divsChild>
    </w:div>
    <w:div w:id="1563978556">
      <w:bodyDiv w:val="1"/>
      <w:marLeft w:val="0"/>
      <w:marRight w:val="0"/>
      <w:marTop w:val="0"/>
      <w:marBottom w:val="0"/>
      <w:divBdr>
        <w:top w:val="none" w:sz="0" w:space="0" w:color="auto"/>
        <w:left w:val="none" w:sz="0" w:space="0" w:color="auto"/>
        <w:bottom w:val="none" w:sz="0" w:space="0" w:color="auto"/>
        <w:right w:val="none" w:sz="0" w:space="0" w:color="auto"/>
      </w:divBdr>
      <w:divsChild>
        <w:div w:id="1225340073">
          <w:marLeft w:val="0"/>
          <w:marRight w:val="0"/>
          <w:marTop w:val="0"/>
          <w:marBottom w:val="0"/>
          <w:divBdr>
            <w:top w:val="none" w:sz="0" w:space="0" w:color="auto"/>
            <w:left w:val="none" w:sz="0" w:space="0" w:color="auto"/>
            <w:bottom w:val="none" w:sz="0" w:space="0" w:color="auto"/>
            <w:right w:val="none" w:sz="0" w:space="0" w:color="auto"/>
          </w:divBdr>
        </w:div>
      </w:divsChild>
    </w:div>
    <w:div w:id="1578591481">
      <w:bodyDiv w:val="1"/>
      <w:marLeft w:val="0"/>
      <w:marRight w:val="0"/>
      <w:marTop w:val="0"/>
      <w:marBottom w:val="0"/>
      <w:divBdr>
        <w:top w:val="none" w:sz="0" w:space="0" w:color="auto"/>
        <w:left w:val="none" w:sz="0" w:space="0" w:color="auto"/>
        <w:bottom w:val="none" w:sz="0" w:space="0" w:color="auto"/>
        <w:right w:val="none" w:sz="0" w:space="0" w:color="auto"/>
      </w:divBdr>
      <w:divsChild>
        <w:div w:id="1029989652">
          <w:marLeft w:val="0"/>
          <w:marRight w:val="0"/>
          <w:marTop w:val="0"/>
          <w:marBottom w:val="0"/>
          <w:divBdr>
            <w:top w:val="none" w:sz="0" w:space="0" w:color="auto"/>
            <w:left w:val="none" w:sz="0" w:space="0" w:color="auto"/>
            <w:bottom w:val="none" w:sz="0" w:space="0" w:color="auto"/>
            <w:right w:val="none" w:sz="0" w:space="0" w:color="auto"/>
          </w:divBdr>
        </w:div>
      </w:divsChild>
    </w:div>
    <w:div w:id="1593276189">
      <w:bodyDiv w:val="1"/>
      <w:marLeft w:val="0"/>
      <w:marRight w:val="0"/>
      <w:marTop w:val="0"/>
      <w:marBottom w:val="0"/>
      <w:divBdr>
        <w:top w:val="none" w:sz="0" w:space="0" w:color="auto"/>
        <w:left w:val="none" w:sz="0" w:space="0" w:color="auto"/>
        <w:bottom w:val="none" w:sz="0" w:space="0" w:color="auto"/>
        <w:right w:val="none" w:sz="0" w:space="0" w:color="auto"/>
      </w:divBdr>
      <w:divsChild>
        <w:div w:id="1829519510">
          <w:marLeft w:val="0"/>
          <w:marRight w:val="0"/>
          <w:marTop w:val="0"/>
          <w:marBottom w:val="0"/>
          <w:divBdr>
            <w:top w:val="none" w:sz="0" w:space="0" w:color="auto"/>
            <w:left w:val="none" w:sz="0" w:space="0" w:color="auto"/>
            <w:bottom w:val="none" w:sz="0" w:space="0" w:color="auto"/>
            <w:right w:val="none" w:sz="0" w:space="0" w:color="auto"/>
          </w:divBdr>
        </w:div>
      </w:divsChild>
    </w:div>
    <w:div w:id="1597471551">
      <w:bodyDiv w:val="1"/>
      <w:marLeft w:val="0"/>
      <w:marRight w:val="0"/>
      <w:marTop w:val="0"/>
      <w:marBottom w:val="0"/>
      <w:divBdr>
        <w:top w:val="none" w:sz="0" w:space="0" w:color="auto"/>
        <w:left w:val="none" w:sz="0" w:space="0" w:color="auto"/>
        <w:bottom w:val="none" w:sz="0" w:space="0" w:color="auto"/>
        <w:right w:val="none" w:sz="0" w:space="0" w:color="auto"/>
      </w:divBdr>
      <w:divsChild>
        <w:div w:id="1518542886">
          <w:marLeft w:val="0"/>
          <w:marRight w:val="0"/>
          <w:marTop w:val="0"/>
          <w:marBottom w:val="0"/>
          <w:divBdr>
            <w:top w:val="none" w:sz="0" w:space="0" w:color="auto"/>
            <w:left w:val="none" w:sz="0" w:space="0" w:color="auto"/>
            <w:bottom w:val="none" w:sz="0" w:space="0" w:color="auto"/>
            <w:right w:val="none" w:sz="0" w:space="0" w:color="auto"/>
          </w:divBdr>
          <w:divsChild>
            <w:div w:id="1379554500">
              <w:marLeft w:val="0"/>
              <w:marRight w:val="0"/>
              <w:marTop w:val="0"/>
              <w:marBottom w:val="0"/>
              <w:divBdr>
                <w:top w:val="none" w:sz="0" w:space="0" w:color="auto"/>
                <w:left w:val="none" w:sz="0" w:space="0" w:color="auto"/>
                <w:bottom w:val="none" w:sz="0" w:space="0" w:color="auto"/>
                <w:right w:val="none" w:sz="0" w:space="0" w:color="auto"/>
              </w:divBdr>
            </w:div>
            <w:div w:id="81227431">
              <w:marLeft w:val="0"/>
              <w:marRight w:val="0"/>
              <w:marTop w:val="0"/>
              <w:marBottom w:val="0"/>
              <w:divBdr>
                <w:top w:val="none" w:sz="0" w:space="0" w:color="auto"/>
                <w:left w:val="none" w:sz="0" w:space="0" w:color="auto"/>
                <w:bottom w:val="none" w:sz="0" w:space="0" w:color="auto"/>
                <w:right w:val="none" w:sz="0" w:space="0" w:color="auto"/>
              </w:divBdr>
            </w:div>
            <w:div w:id="354693636">
              <w:marLeft w:val="0"/>
              <w:marRight w:val="0"/>
              <w:marTop w:val="0"/>
              <w:marBottom w:val="0"/>
              <w:divBdr>
                <w:top w:val="none" w:sz="0" w:space="0" w:color="auto"/>
                <w:left w:val="none" w:sz="0" w:space="0" w:color="auto"/>
                <w:bottom w:val="none" w:sz="0" w:space="0" w:color="auto"/>
                <w:right w:val="none" w:sz="0" w:space="0" w:color="auto"/>
              </w:divBdr>
            </w:div>
            <w:div w:id="1511486096">
              <w:marLeft w:val="0"/>
              <w:marRight w:val="0"/>
              <w:marTop w:val="0"/>
              <w:marBottom w:val="0"/>
              <w:divBdr>
                <w:top w:val="none" w:sz="0" w:space="0" w:color="auto"/>
                <w:left w:val="none" w:sz="0" w:space="0" w:color="auto"/>
                <w:bottom w:val="none" w:sz="0" w:space="0" w:color="auto"/>
                <w:right w:val="none" w:sz="0" w:space="0" w:color="auto"/>
              </w:divBdr>
            </w:div>
            <w:div w:id="625627300">
              <w:marLeft w:val="0"/>
              <w:marRight w:val="0"/>
              <w:marTop w:val="0"/>
              <w:marBottom w:val="0"/>
              <w:divBdr>
                <w:top w:val="none" w:sz="0" w:space="0" w:color="auto"/>
                <w:left w:val="none" w:sz="0" w:space="0" w:color="auto"/>
                <w:bottom w:val="none" w:sz="0" w:space="0" w:color="auto"/>
                <w:right w:val="none" w:sz="0" w:space="0" w:color="auto"/>
              </w:divBdr>
            </w:div>
            <w:div w:id="1351687362">
              <w:marLeft w:val="0"/>
              <w:marRight w:val="0"/>
              <w:marTop w:val="0"/>
              <w:marBottom w:val="0"/>
              <w:divBdr>
                <w:top w:val="none" w:sz="0" w:space="0" w:color="auto"/>
                <w:left w:val="none" w:sz="0" w:space="0" w:color="auto"/>
                <w:bottom w:val="none" w:sz="0" w:space="0" w:color="auto"/>
                <w:right w:val="none" w:sz="0" w:space="0" w:color="auto"/>
              </w:divBdr>
            </w:div>
            <w:div w:id="1894735052">
              <w:marLeft w:val="0"/>
              <w:marRight w:val="0"/>
              <w:marTop w:val="0"/>
              <w:marBottom w:val="0"/>
              <w:divBdr>
                <w:top w:val="none" w:sz="0" w:space="0" w:color="auto"/>
                <w:left w:val="none" w:sz="0" w:space="0" w:color="auto"/>
                <w:bottom w:val="none" w:sz="0" w:space="0" w:color="auto"/>
                <w:right w:val="none" w:sz="0" w:space="0" w:color="auto"/>
              </w:divBdr>
            </w:div>
            <w:div w:id="1528979373">
              <w:marLeft w:val="0"/>
              <w:marRight w:val="0"/>
              <w:marTop w:val="0"/>
              <w:marBottom w:val="0"/>
              <w:divBdr>
                <w:top w:val="none" w:sz="0" w:space="0" w:color="auto"/>
                <w:left w:val="none" w:sz="0" w:space="0" w:color="auto"/>
                <w:bottom w:val="none" w:sz="0" w:space="0" w:color="auto"/>
                <w:right w:val="none" w:sz="0" w:space="0" w:color="auto"/>
              </w:divBdr>
            </w:div>
            <w:div w:id="2090424139">
              <w:marLeft w:val="0"/>
              <w:marRight w:val="0"/>
              <w:marTop w:val="0"/>
              <w:marBottom w:val="0"/>
              <w:divBdr>
                <w:top w:val="none" w:sz="0" w:space="0" w:color="auto"/>
                <w:left w:val="none" w:sz="0" w:space="0" w:color="auto"/>
                <w:bottom w:val="none" w:sz="0" w:space="0" w:color="auto"/>
                <w:right w:val="none" w:sz="0" w:space="0" w:color="auto"/>
              </w:divBdr>
            </w:div>
            <w:div w:id="694574034">
              <w:marLeft w:val="0"/>
              <w:marRight w:val="0"/>
              <w:marTop w:val="0"/>
              <w:marBottom w:val="0"/>
              <w:divBdr>
                <w:top w:val="none" w:sz="0" w:space="0" w:color="auto"/>
                <w:left w:val="none" w:sz="0" w:space="0" w:color="auto"/>
                <w:bottom w:val="none" w:sz="0" w:space="0" w:color="auto"/>
                <w:right w:val="none" w:sz="0" w:space="0" w:color="auto"/>
              </w:divBdr>
            </w:div>
            <w:div w:id="1470703957">
              <w:marLeft w:val="0"/>
              <w:marRight w:val="0"/>
              <w:marTop w:val="0"/>
              <w:marBottom w:val="0"/>
              <w:divBdr>
                <w:top w:val="none" w:sz="0" w:space="0" w:color="auto"/>
                <w:left w:val="none" w:sz="0" w:space="0" w:color="auto"/>
                <w:bottom w:val="none" w:sz="0" w:space="0" w:color="auto"/>
                <w:right w:val="none" w:sz="0" w:space="0" w:color="auto"/>
              </w:divBdr>
            </w:div>
            <w:div w:id="1484927916">
              <w:marLeft w:val="0"/>
              <w:marRight w:val="0"/>
              <w:marTop w:val="0"/>
              <w:marBottom w:val="0"/>
              <w:divBdr>
                <w:top w:val="none" w:sz="0" w:space="0" w:color="auto"/>
                <w:left w:val="none" w:sz="0" w:space="0" w:color="auto"/>
                <w:bottom w:val="none" w:sz="0" w:space="0" w:color="auto"/>
                <w:right w:val="none" w:sz="0" w:space="0" w:color="auto"/>
              </w:divBdr>
            </w:div>
          </w:divsChild>
        </w:div>
        <w:div w:id="1122503994">
          <w:marLeft w:val="0"/>
          <w:marRight w:val="0"/>
          <w:marTop w:val="0"/>
          <w:marBottom w:val="0"/>
          <w:divBdr>
            <w:top w:val="none" w:sz="0" w:space="0" w:color="auto"/>
            <w:left w:val="none" w:sz="0" w:space="0" w:color="auto"/>
            <w:bottom w:val="none" w:sz="0" w:space="0" w:color="auto"/>
            <w:right w:val="none" w:sz="0" w:space="0" w:color="auto"/>
          </w:divBdr>
          <w:divsChild>
            <w:div w:id="1553074139">
              <w:marLeft w:val="0"/>
              <w:marRight w:val="0"/>
              <w:marTop w:val="0"/>
              <w:marBottom w:val="0"/>
              <w:divBdr>
                <w:top w:val="none" w:sz="0" w:space="0" w:color="auto"/>
                <w:left w:val="none" w:sz="0" w:space="0" w:color="auto"/>
                <w:bottom w:val="none" w:sz="0" w:space="0" w:color="auto"/>
                <w:right w:val="none" w:sz="0" w:space="0" w:color="auto"/>
              </w:divBdr>
            </w:div>
            <w:div w:id="1690139627">
              <w:marLeft w:val="0"/>
              <w:marRight w:val="0"/>
              <w:marTop w:val="0"/>
              <w:marBottom w:val="0"/>
              <w:divBdr>
                <w:top w:val="none" w:sz="0" w:space="0" w:color="auto"/>
                <w:left w:val="none" w:sz="0" w:space="0" w:color="auto"/>
                <w:bottom w:val="none" w:sz="0" w:space="0" w:color="auto"/>
                <w:right w:val="none" w:sz="0" w:space="0" w:color="auto"/>
              </w:divBdr>
            </w:div>
            <w:div w:id="413011798">
              <w:marLeft w:val="0"/>
              <w:marRight w:val="0"/>
              <w:marTop w:val="0"/>
              <w:marBottom w:val="0"/>
              <w:divBdr>
                <w:top w:val="none" w:sz="0" w:space="0" w:color="auto"/>
                <w:left w:val="none" w:sz="0" w:space="0" w:color="auto"/>
                <w:bottom w:val="none" w:sz="0" w:space="0" w:color="auto"/>
                <w:right w:val="none" w:sz="0" w:space="0" w:color="auto"/>
              </w:divBdr>
            </w:div>
            <w:div w:id="1261718656">
              <w:marLeft w:val="0"/>
              <w:marRight w:val="0"/>
              <w:marTop w:val="0"/>
              <w:marBottom w:val="0"/>
              <w:divBdr>
                <w:top w:val="none" w:sz="0" w:space="0" w:color="auto"/>
                <w:left w:val="none" w:sz="0" w:space="0" w:color="auto"/>
                <w:bottom w:val="none" w:sz="0" w:space="0" w:color="auto"/>
                <w:right w:val="none" w:sz="0" w:space="0" w:color="auto"/>
              </w:divBdr>
            </w:div>
            <w:div w:id="1623152510">
              <w:marLeft w:val="0"/>
              <w:marRight w:val="0"/>
              <w:marTop w:val="0"/>
              <w:marBottom w:val="0"/>
              <w:divBdr>
                <w:top w:val="none" w:sz="0" w:space="0" w:color="auto"/>
                <w:left w:val="none" w:sz="0" w:space="0" w:color="auto"/>
                <w:bottom w:val="none" w:sz="0" w:space="0" w:color="auto"/>
                <w:right w:val="none" w:sz="0" w:space="0" w:color="auto"/>
              </w:divBdr>
            </w:div>
            <w:div w:id="1303845984">
              <w:marLeft w:val="0"/>
              <w:marRight w:val="0"/>
              <w:marTop w:val="0"/>
              <w:marBottom w:val="0"/>
              <w:divBdr>
                <w:top w:val="none" w:sz="0" w:space="0" w:color="auto"/>
                <w:left w:val="none" w:sz="0" w:space="0" w:color="auto"/>
                <w:bottom w:val="none" w:sz="0" w:space="0" w:color="auto"/>
                <w:right w:val="none" w:sz="0" w:space="0" w:color="auto"/>
              </w:divBdr>
            </w:div>
            <w:div w:id="473526635">
              <w:marLeft w:val="0"/>
              <w:marRight w:val="0"/>
              <w:marTop w:val="0"/>
              <w:marBottom w:val="0"/>
              <w:divBdr>
                <w:top w:val="none" w:sz="0" w:space="0" w:color="auto"/>
                <w:left w:val="none" w:sz="0" w:space="0" w:color="auto"/>
                <w:bottom w:val="none" w:sz="0" w:space="0" w:color="auto"/>
                <w:right w:val="none" w:sz="0" w:space="0" w:color="auto"/>
              </w:divBdr>
            </w:div>
            <w:div w:id="559219342">
              <w:marLeft w:val="0"/>
              <w:marRight w:val="0"/>
              <w:marTop w:val="0"/>
              <w:marBottom w:val="0"/>
              <w:divBdr>
                <w:top w:val="none" w:sz="0" w:space="0" w:color="auto"/>
                <w:left w:val="none" w:sz="0" w:space="0" w:color="auto"/>
                <w:bottom w:val="none" w:sz="0" w:space="0" w:color="auto"/>
                <w:right w:val="none" w:sz="0" w:space="0" w:color="auto"/>
              </w:divBdr>
            </w:div>
            <w:div w:id="1915432418">
              <w:marLeft w:val="0"/>
              <w:marRight w:val="0"/>
              <w:marTop w:val="0"/>
              <w:marBottom w:val="0"/>
              <w:divBdr>
                <w:top w:val="none" w:sz="0" w:space="0" w:color="auto"/>
                <w:left w:val="none" w:sz="0" w:space="0" w:color="auto"/>
                <w:bottom w:val="none" w:sz="0" w:space="0" w:color="auto"/>
                <w:right w:val="none" w:sz="0" w:space="0" w:color="auto"/>
              </w:divBdr>
            </w:div>
            <w:div w:id="92014829">
              <w:marLeft w:val="0"/>
              <w:marRight w:val="0"/>
              <w:marTop w:val="0"/>
              <w:marBottom w:val="0"/>
              <w:divBdr>
                <w:top w:val="none" w:sz="0" w:space="0" w:color="auto"/>
                <w:left w:val="none" w:sz="0" w:space="0" w:color="auto"/>
                <w:bottom w:val="none" w:sz="0" w:space="0" w:color="auto"/>
                <w:right w:val="none" w:sz="0" w:space="0" w:color="auto"/>
              </w:divBdr>
            </w:div>
            <w:div w:id="1625890762">
              <w:marLeft w:val="0"/>
              <w:marRight w:val="0"/>
              <w:marTop w:val="0"/>
              <w:marBottom w:val="0"/>
              <w:divBdr>
                <w:top w:val="none" w:sz="0" w:space="0" w:color="auto"/>
                <w:left w:val="none" w:sz="0" w:space="0" w:color="auto"/>
                <w:bottom w:val="none" w:sz="0" w:space="0" w:color="auto"/>
                <w:right w:val="none" w:sz="0" w:space="0" w:color="auto"/>
              </w:divBdr>
            </w:div>
            <w:div w:id="2037803158">
              <w:marLeft w:val="0"/>
              <w:marRight w:val="0"/>
              <w:marTop w:val="0"/>
              <w:marBottom w:val="0"/>
              <w:divBdr>
                <w:top w:val="none" w:sz="0" w:space="0" w:color="auto"/>
                <w:left w:val="none" w:sz="0" w:space="0" w:color="auto"/>
                <w:bottom w:val="none" w:sz="0" w:space="0" w:color="auto"/>
                <w:right w:val="none" w:sz="0" w:space="0" w:color="auto"/>
              </w:divBdr>
            </w:div>
            <w:div w:id="1584754717">
              <w:marLeft w:val="0"/>
              <w:marRight w:val="0"/>
              <w:marTop w:val="0"/>
              <w:marBottom w:val="0"/>
              <w:divBdr>
                <w:top w:val="none" w:sz="0" w:space="0" w:color="auto"/>
                <w:left w:val="none" w:sz="0" w:space="0" w:color="auto"/>
                <w:bottom w:val="none" w:sz="0" w:space="0" w:color="auto"/>
                <w:right w:val="none" w:sz="0" w:space="0" w:color="auto"/>
              </w:divBdr>
            </w:div>
            <w:div w:id="879437340">
              <w:marLeft w:val="0"/>
              <w:marRight w:val="0"/>
              <w:marTop w:val="0"/>
              <w:marBottom w:val="0"/>
              <w:divBdr>
                <w:top w:val="none" w:sz="0" w:space="0" w:color="auto"/>
                <w:left w:val="none" w:sz="0" w:space="0" w:color="auto"/>
                <w:bottom w:val="none" w:sz="0" w:space="0" w:color="auto"/>
                <w:right w:val="none" w:sz="0" w:space="0" w:color="auto"/>
              </w:divBdr>
            </w:div>
            <w:div w:id="1060329991">
              <w:marLeft w:val="0"/>
              <w:marRight w:val="0"/>
              <w:marTop w:val="0"/>
              <w:marBottom w:val="0"/>
              <w:divBdr>
                <w:top w:val="none" w:sz="0" w:space="0" w:color="auto"/>
                <w:left w:val="none" w:sz="0" w:space="0" w:color="auto"/>
                <w:bottom w:val="none" w:sz="0" w:space="0" w:color="auto"/>
                <w:right w:val="none" w:sz="0" w:space="0" w:color="auto"/>
              </w:divBdr>
            </w:div>
            <w:div w:id="1711689753">
              <w:marLeft w:val="0"/>
              <w:marRight w:val="0"/>
              <w:marTop w:val="0"/>
              <w:marBottom w:val="0"/>
              <w:divBdr>
                <w:top w:val="none" w:sz="0" w:space="0" w:color="auto"/>
                <w:left w:val="none" w:sz="0" w:space="0" w:color="auto"/>
                <w:bottom w:val="none" w:sz="0" w:space="0" w:color="auto"/>
                <w:right w:val="none" w:sz="0" w:space="0" w:color="auto"/>
              </w:divBdr>
            </w:div>
            <w:div w:id="1676301099">
              <w:marLeft w:val="0"/>
              <w:marRight w:val="0"/>
              <w:marTop w:val="0"/>
              <w:marBottom w:val="0"/>
              <w:divBdr>
                <w:top w:val="none" w:sz="0" w:space="0" w:color="auto"/>
                <w:left w:val="none" w:sz="0" w:space="0" w:color="auto"/>
                <w:bottom w:val="none" w:sz="0" w:space="0" w:color="auto"/>
                <w:right w:val="none" w:sz="0" w:space="0" w:color="auto"/>
              </w:divBdr>
            </w:div>
            <w:div w:id="1850487697">
              <w:marLeft w:val="0"/>
              <w:marRight w:val="0"/>
              <w:marTop w:val="0"/>
              <w:marBottom w:val="0"/>
              <w:divBdr>
                <w:top w:val="none" w:sz="0" w:space="0" w:color="auto"/>
                <w:left w:val="none" w:sz="0" w:space="0" w:color="auto"/>
                <w:bottom w:val="none" w:sz="0" w:space="0" w:color="auto"/>
                <w:right w:val="none" w:sz="0" w:space="0" w:color="auto"/>
              </w:divBdr>
            </w:div>
            <w:div w:id="773407302">
              <w:marLeft w:val="0"/>
              <w:marRight w:val="0"/>
              <w:marTop w:val="0"/>
              <w:marBottom w:val="0"/>
              <w:divBdr>
                <w:top w:val="none" w:sz="0" w:space="0" w:color="auto"/>
                <w:left w:val="none" w:sz="0" w:space="0" w:color="auto"/>
                <w:bottom w:val="none" w:sz="0" w:space="0" w:color="auto"/>
                <w:right w:val="none" w:sz="0" w:space="0" w:color="auto"/>
              </w:divBdr>
            </w:div>
            <w:div w:id="1863276225">
              <w:marLeft w:val="0"/>
              <w:marRight w:val="0"/>
              <w:marTop w:val="0"/>
              <w:marBottom w:val="0"/>
              <w:divBdr>
                <w:top w:val="none" w:sz="0" w:space="0" w:color="auto"/>
                <w:left w:val="none" w:sz="0" w:space="0" w:color="auto"/>
                <w:bottom w:val="none" w:sz="0" w:space="0" w:color="auto"/>
                <w:right w:val="none" w:sz="0" w:space="0" w:color="auto"/>
              </w:divBdr>
            </w:div>
          </w:divsChild>
        </w:div>
        <w:div w:id="1685159787">
          <w:marLeft w:val="0"/>
          <w:marRight w:val="0"/>
          <w:marTop w:val="0"/>
          <w:marBottom w:val="0"/>
          <w:divBdr>
            <w:top w:val="none" w:sz="0" w:space="0" w:color="auto"/>
            <w:left w:val="none" w:sz="0" w:space="0" w:color="auto"/>
            <w:bottom w:val="none" w:sz="0" w:space="0" w:color="auto"/>
            <w:right w:val="none" w:sz="0" w:space="0" w:color="auto"/>
          </w:divBdr>
          <w:divsChild>
            <w:div w:id="23752683">
              <w:marLeft w:val="0"/>
              <w:marRight w:val="0"/>
              <w:marTop w:val="0"/>
              <w:marBottom w:val="0"/>
              <w:divBdr>
                <w:top w:val="none" w:sz="0" w:space="0" w:color="auto"/>
                <w:left w:val="none" w:sz="0" w:space="0" w:color="auto"/>
                <w:bottom w:val="none" w:sz="0" w:space="0" w:color="auto"/>
                <w:right w:val="none" w:sz="0" w:space="0" w:color="auto"/>
              </w:divBdr>
            </w:div>
            <w:div w:id="371153468">
              <w:marLeft w:val="0"/>
              <w:marRight w:val="0"/>
              <w:marTop w:val="0"/>
              <w:marBottom w:val="0"/>
              <w:divBdr>
                <w:top w:val="none" w:sz="0" w:space="0" w:color="auto"/>
                <w:left w:val="none" w:sz="0" w:space="0" w:color="auto"/>
                <w:bottom w:val="none" w:sz="0" w:space="0" w:color="auto"/>
                <w:right w:val="none" w:sz="0" w:space="0" w:color="auto"/>
              </w:divBdr>
            </w:div>
            <w:div w:id="2096050829">
              <w:marLeft w:val="0"/>
              <w:marRight w:val="0"/>
              <w:marTop w:val="0"/>
              <w:marBottom w:val="0"/>
              <w:divBdr>
                <w:top w:val="none" w:sz="0" w:space="0" w:color="auto"/>
                <w:left w:val="none" w:sz="0" w:space="0" w:color="auto"/>
                <w:bottom w:val="none" w:sz="0" w:space="0" w:color="auto"/>
                <w:right w:val="none" w:sz="0" w:space="0" w:color="auto"/>
              </w:divBdr>
            </w:div>
            <w:div w:id="585188427">
              <w:marLeft w:val="0"/>
              <w:marRight w:val="0"/>
              <w:marTop w:val="0"/>
              <w:marBottom w:val="0"/>
              <w:divBdr>
                <w:top w:val="none" w:sz="0" w:space="0" w:color="auto"/>
                <w:left w:val="none" w:sz="0" w:space="0" w:color="auto"/>
                <w:bottom w:val="none" w:sz="0" w:space="0" w:color="auto"/>
                <w:right w:val="none" w:sz="0" w:space="0" w:color="auto"/>
              </w:divBdr>
            </w:div>
            <w:div w:id="378742931">
              <w:marLeft w:val="0"/>
              <w:marRight w:val="0"/>
              <w:marTop w:val="0"/>
              <w:marBottom w:val="0"/>
              <w:divBdr>
                <w:top w:val="none" w:sz="0" w:space="0" w:color="auto"/>
                <w:left w:val="none" w:sz="0" w:space="0" w:color="auto"/>
                <w:bottom w:val="none" w:sz="0" w:space="0" w:color="auto"/>
                <w:right w:val="none" w:sz="0" w:space="0" w:color="auto"/>
              </w:divBdr>
            </w:div>
            <w:div w:id="489447949">
              <w:marLeft w:val="0"/>
              <w:marRight w:val="0"/>
              <w:marTop w:val="0"/>
              <w:marBottom w:val="0"/>
              <w:divBdr>
                <w:top w:val="none" w:sz="0" w:space="0" w:color="auto"/>
                <w:left w:val="none" w:sz="0" w:space="0" w:color="auto"/>
                <w:bottom w:val="none" w:sz="0" w:space="0" w:color="auto"/>
                <w:right w:val="none" w:sz="0" w:space="0" w:color="auto"/>
              </w:divBdr>
            </w:div>
            <w:div w:id="470951582">
              <w:marLeft w:val="0"/>
              <w:marRight w:val="0"/>
              <w:marTop w:val="0"/>
              <w:marBottom w:val="0"/>
              <w:divBdr>
                <w:top w:val="none" w:sz="0" w:space="0" w:color="auto"/>
                <w:left w:val="none" w:sz="0" w:space="0" w:color="auto"/>
                <w:bottom w:val="none" w:sz="0" w:space="0" w:color="auto"/>
                <w:right w:val="none" w:sz="0" w:space="0" w:color="auto"/>
              </w:divBdr>
            </w:div>
            <w:div w:id="1673603339">
              <w:marLeft w:val="0"/>
              <w:marRight w:val="0"/>
              <w:marTop w:val="0"/>
              <w:marBottom w:val="0"/>
              <w:divBdr>
                <w:top w:val="none" w:sz="0" w:space="0" w:color="auto"/>
                <w:left w:val="none" w:sz="0" w:space="0" w:color="auto"/>
                <w:bottom w:val="none" w:sz="0" w:space="0" w:color="auto"/>
                <w:right w:val="none" w:sz="0" w:space="0" w:color="auto"/>
              </w:divBdr>
            </w:div>
            <w:div w:id="632754327">
              <w:marLeft w:val="0"/>
              <w:marRight w:val="0"/>
              <w:marTop w:val="0"/>
              <w:marBottom w:val="0"/>
              <w:divBdr>
                <w:top w:val="none" w:sz="0" w:space="0" w:color="auto"/>
                <w:left w:val="none" w:sz="0" w:space="0" w:color="auto"/>
                <w:bottom w:val="none" w:sz="0" w:space="0" w:color="auto"/>
                <w:right w:val="none" w:sz="0" w:space="0" w:color="auto"/>
              </w:divBdr>
            </w:div>
            <w:div w:id="1369718805">
              <w:marLeft w:val="0"/>
              <w:marRight w:val="0"/>
              <w:marTop w:val="0"/>
              <w:marBottom w:val="0"/>
              <w:divBdr>
                <w:top w:val="none" w:sz="0" w:space="0" w:color="auto"/>
                <w:left w:val="none" w:sz="0" w:space="0" w:color="auto"/>
                <w:bottom w:val="none" w:sz="0" w:space="0" w:color="auto"/>
                <w:right w:val="none" w:sz="0" w:space="0" w:color="auto"/>
              </w:divBdr>
            </w:div>
            <w:div w:id="589394137">
              <w:marLeft w:val="0"/>
              <w:marRight w:val="0"/>
              <w:marTop w:val="0"/>
              <w:marBottom w:val="0"/>
              <w:divBdr>
                <w:top w:val="none" w:sz="0" w:space="0" w:color="auto"/>
                <w:left w:val="none" w:sz="0" w:space="0" w:color="auto"/>
                <w:bottom w:val="none" w:sz="0" w:space="0" w:color="auto"/>
                <w:right w:val="none" w:sz="0" w:space="0" w:color="auto"/>
              </w:divBdr>
            </w:div>
            <w:div w:id="1797016990">
              <w:marLeft w:val="0"/>
              <w:marRight w:val="0"/>
              <w:marTop w:val="0"/>
              <w:marBottom w:val="0"/>
              <w:divBdr>
                <w:top w:val="none" w:sz="0" w:space="0" w:color="auto"/>
                <w:left w:val="none" w:sz="0" w:space="0" w:color="auto"/>
                <w:bottom w:val="none" w:sz="0" w:space="0" w:color="auto"/>
                <w:right w:val="none" w:sz="0" w:space="0" w:color="auto"/>
              </w:divBdr>
            </w:div>
            <w:div w:id="381714342">
              <w:marLeft w:val="0"/>
              <w:marRight w:val="0"/>
              <w:marTop w:val="0"/>
              <w:marBottom w:val="0"/>
              <w:divBdr>
                <w:top w:val="none" w:sz="0" w:space="0" w:color="auto"/>
                <w:left w:val="none" w:sz="0" w:space="0" w:color="auto"/>
                <w:bottom w:val="none" w:sz="0" w:space="0" w:color="auto"/>
                <w:right w:val="none" w:sz="0" w:space="0" w:color="auto"/>
              </w:divBdr>
            </w:div>
            <w:div w:id="1998877931">
              <w:marLeft w:val="0"/>
              <w:marRight w:val="0"/>
              <w:marTop w:val="0"/>
              <w:marBottom w:val="0"/>
              <w:divBdr>
                <w:top w:val="none" w:sz="0" w:space="0" w:color="auto"/>
                <w:left w:val="none" w:sz="0" w:space="0" w:color="auto"/>
                <w:bottom w:val="none" w:sz="0" w:space="0" w:color="auto"/>
                <w:right w:val="none" w:sz="0" w:space="0" w:color="auto"/>
              </w:divBdr>
            </w:div>
            <w:div w:id="648680332">
              <w:marLeft w:val="0"/>
              <w:marRight w:val="0"/>
              <w:marTop w:val="0"/>
              <w:marBottom w:val="0"/>
              <w:divBdr>
                <w:top w:val="none" w:sz="0" w:space="0" w:color="auto"/>
                <w:left w:val="none" w:sz="0" w:space="0" w:color="auto"/>
                <w:bottom w:val="none" w:sz="0" w:space="0" w:color="auto"/>
                <w:right w:val="none" w:sz="0" w:space="0" w:color="auto"/>
              </w:divBdr>
            </w:div>
            <w:div w:id="1606573523">
              <w:marLeft w:val="0"/>
              <w:marRight w:val="0"/>
              <w:marTop w:val="0"/>
              <w:marBottom w:val="0"/>
              <w:divBdr>
                <w:top w:val="none" w:sz="0" w:space="0" w:color="auto"/>
                <w:left w:val="none" w:sz="0" w:space="0" w:color="auto"/>
                <w:bottom w:val="none" w:sz="0" w:space="0" w:color="auto"/>
                <w:right w:val="none" w:sz="0" w:space="0" w:color="auto"/>
              </w:divBdr>
            </w:div>
            <w:div w:id="2065984261">
              <w:marLeft w:val="0"/>
              <w:marRight w:val="0"/>
              <w:marTop w:val="0"/>
              <w:marBottom w:val="0"/>
              <w:divBdr>
                <w:top w:val="none" w:sz="0" w:space="0" w:color="auto"/>
                <w:left w:val="none" w:sz="0" w:space="0" w:color="auto"/>
                <w:bottom w:val="none" w:sz="0" w:space="0" w:color="auto"/>
                <w:right w:val="none" w:sz="0" w:space="0" w:color="auto"/>
              </w:divBdr>
            </w:div>
            <w:div w:id="1176921360">
              <w:marLeft w:val="0"/>
              <w:marRight w:val="0"/>
              <w:marTop w:val="0"/>
              <w:marBottom w:val="0"/>
              <w:divBdr>
                <w:top w:val="none" w:sz="0" w:space="0" w:color="auto"/>
                <w:left w:val="none" w:sz="0" w:space="0" w:color="auto"/>
                <w:bottom w:val="none" w:sz="0" w:space="0" w:color="auto"/>
                <w:right w:val="none" w:sz="0" w:space="0" w:color="auto"/>
              </w:divBdr>
            </w:div>
            <w:div w:id="1277327293">
              <w:marLeft w:val="0"/>
              <w:marRight w:val="0"/>
              <w:marTop w:val="0"/>
              <w:marBottom w:val="0"/>
              <w:divBdr>
                <w:top w:val="none" w:sz="0" w:space="0" w:color="auto"/>
                <w:left w:val="none" w:sz="0" w:space="0" w:color="auto"/>
                <w:bottom w:val="none" w:sz="0" w:space="0" w:color="auto"/>
                <w:right w:val="none" w:sz="0" w:space="0" w:color="auto"/>
              </w:divBdr>
            </w:div>
            <w:div w:id="750347657">
              <w:marLeft w:val="0"/>
              <w:marRight w:val="0"/>
              <w:marTop w:val="0"/>
              <w:marBottom w:val="0"/>
              <w:divBdr>
                <w:top w:val="none" w:sz="0" w:space="0" w:color="auto"/>
                <w:left w:val="none" w:sz="0" w:space="0" w:color="auto"/>
                <w:bottom w:val="none" w:sz="0" w:space="0" w:color="auto"/>
                <w:right w:val="none" w:sz="0" w:space="0" w:color="auto"/>
              </w:divBdr>
            </w:div>
          </w:divsChild>
        </w:div>
        <w:div w:id="815955312">
          <w:marLeft w:val="0"/>
          <w:marRight w:val="0"/>
          <w:marTop w:val="0"/>
          <w:marBottom w:val="0"/>
          <w:divBdr>
            <w:top w:val="none" w:sz="0" w:space="0" w:color="auto"/>
            <w:left w:val="none" w:sz="0" w:space="0" w:color="auto"/>
            <w:bottom w:val="none" w:sz="0" w:space="0" w:color="auto"/>
            <w:right w:val="none" w:sz="0" w:space="0" w:color="auto"/>
          </w:divBdr>
          <w:divsChild>
            <w:div w:id="1078289957">
              <w:marLeft w:val="0"/>
              <w:marRight w:val="0"/>
              <w:marTop w:val="0"/>
              <w:marBottom w:val="0"/>
              <w:divBdr>
                <w:top w:val="none" w:sz="0" w:space="0" w:color="auto"/>
                <w:left w:val="none" w:sz="0" w:space="0" w:color="auto"/>
                <w:bottom w:val="none" w:sz="0" w:space="0" w:color="auto"/>
                <w:right w:val="none" w:sz="0" w:space="0" w:color="auto"/>
              </w:divBdr>
            </w:div>
            <w:div w:id="821431729">
              <w:marLeft w:val="0"/>
              <w:marRight w:val="0"/>
              <w:marTop w:val="0"/>
              <w:marBottom w:val="0"/>
              <w:divBdr>
                <w:top w:val="none" w:sz="0" w:space="0" w:color="auto"/>
                <w:left w:val="none" w:sz="0" w:space="0" w:color="auto"/>
                <w:bottom w:val="none" w:sz="0" w:space="0" w:color="auto"/>
                <w:right w:val="none" w:sz="0" w:space="0" w:color="auto"/>
              </w:divBdr>
            </w:div>
            <w:div w:id="765543791">
              <w:marLeft w:val="0"/>
              <w:marRight w:val="0"/>
              <w:marTop w:val="0"/>
              <w:marBottom w:val="0"/>
              <w:divBdr>
                <w:top w:val="none" w:sz="0" w:space="0" w:color="auto"/>
                <w:left w:val="none" w:sz="0" w:space="0" w:color="auto"/>
                <w:bottom w:val="none" w:sz="0" w:space="0" w:color="auto"/>
                <w:right w:val="none" w:sz="0" w:space="0" w:color="auto"/>
              </w:divBdr>
            </w:div>
            <w:div w:id="1388723299">
              <w:marLeft w:val="0"/>
              <w:marRight w:val="0"/>
              <w:marTop w:val="0"/>
              <w:marBottom w:val="0"/>
              <w:divBdr>
                <w:top w:val="none" w:sz="0" w:space="0" w:color="auto"/>
                <w:left w:val="none" w:sz="0" w:space="0" w:color="auto"/>
                <w:bottom w:val="none" w:sz="0" w:space="0" w:color="auto"/>
                <w:right w:val="none" w:sz="0" w:space="0" w:color="auto"/>
              </w:divBdr>
            </w:div>
            <w:div w:id="1589576748">
              <w:marLeft w:val="0"/>
              <w:marRight w:val="0"/>
              <w:marTop w:val="0"/>
              <w:marBottom w:val="0"/>
              <w:divBdr>
                <w:top w:val="none" w:sz="0" w:space="0" w:color="auto"/>
                <w:left w:val="none" w:sz="0" w:space="0" w:color="auto"/>
                <w:bottom w:val="none" w:sz="0" w:space="0" w:color="auto"/>
                <w:right w:val="none" w:sz="0" w:space="0" w:color="auto"/>
              </w:divBdr>
            </w:div>
            <w:div w:id="572131282">
              <w:marLeft w:val="0"/>
              <w:marRight w:val="0"/>
              <w:marTop w:val="0"/>
              <w:marBottom w:val="0"/>
              <w:divBdr>
                <w:top w:val="none" w:sz="0" w:space="0" w:color="auto"/>
                <w:left w:val="none" w:sz="0" w:space="0" w:color="auto"/>
                <w:bottom w:val="none" w:sz="0" w:space="0" w:color="auto"/>
                <w:right w:val="none" w:sz="0" w:space="0" w:color="auto"/>
              </w:divBdr>
            </w:div>
            <w:div w:id="299304932">
              <w:marLeft w:val="0"/>
              <w:marRight w:val="0"/>
              <w:marTop w:val="0"/>
              <w:marBottom w:val="0"/>
              <w:divBdr>
                <w:top w:val="none" w:sz="0" w:space="0" w:color="auto"/>
                <w:left w:val="none" w:sz="0" w:space="0" w:color="auto"/>
                <w:bottom w:val="none" w:sz="0" w:space="0" w:color="auto"/>
                <w:right w:val="none" w:sz="0" w:space="0" w:color="auto"/>
              </w:divBdr>
            </w:div>
            <w:div w:id="1244218924">
              <w:marLeft w:val="0"/>
              <w:marRight w:val="0"/>
              <w:marTop w:val="0"/>
              <w:marBottom w:val="0"/>
              <w:divBdr>
                <w:top w:val="none" w:sz="0" w:space="0" w:color="auto"/>
                <w:left w:val="none" w:sz="0" w:space="0" w:color="auto"/>
                <w:bottom w:val="none" w:sz="0" w:space="0" w:color="auto"/>
                <w:right w:val="none" w:sz="0" w:space="0" w:color="auto"/>
              </w:divBdr>
            </w:div>
            <w:div w:id="15770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19679">
      <w:bodyDiv w:val="1"/>
      <w:marLeft w:val="0"/>
      <w:marRight w:val="0"/>
      <w:marTop w:val="0"/>
      <w:marBottom w:val="0"/>
      <w:divBdr>
        <w:top w:val="none" w:sz="0" w:space="0" w:color="auto"/>
        <w:left w:val="none" w:sz="0" w:space="0" w:color="auto"/>
        <w:bottom w:val="none" w:sz="0" w:space="0" w:color="auto"/>
        <w:right w:val="none" w:sz="0" w:space="0" w:color="auto"/>
      </w:divBdr>
      <w:divsChild>
        <w:div w:id="1030839628">
          <w:marLeft w:val="0"/>
          <w:marRight w:val="0"/>
          <w:marTop w:val="0"/>
          <w:marBottom w:val="0"/>
          <w:divBdr>
            <w:top w:val="none" w:sz="0" w:space="0" w:color="auto"/>
            <w:left w:val="none" w:sz="0" w:space="0" w:color="auto"/>
            <w:bottom w:val="none" w:sz="0" w:space="0" w:color="auto"/>
            <w:right w:val="none" w:sz="0" w:space="0" w:color="auto"/>
          </w:divBdr>
        </w:div>
      </w:divsChild>
    </w:div>
    <w:div w:id="1618367266">
      <w:bodyDiv w:val="1"/>
      <w:marLeft w:val="0"/>
      <w:marRight w:val="0"/>
      <w:marTop w:val="0"/>
      <w:marBottom w:val="0"/>
      <w:divBdr>
        <w:top w:val="none" w:sz="0" w:space="0" w:color="auto"/>
        <w:left w:val="none" w:sz="0" w:space="0" w:color="auto"/>
        <w:bottom w:val="none" w:sz="0" w:space="0" w:color="auto"/>
        <w:right w:val="none" w:sz="0" w:space="0" w:color="auto"/>
      </w:divBdr>
      <w:divsChild>
        <w:div w:id="1390377261">
          <w:marLeft w:val="0"/>
          <w:marRight w:val="0"/>
          <w:marTop w:val="0"/>
          <w:marBottom w:val="0"/>
          <w:divBdr>
            <w:top w:val="none" w:sz="0" w:space="0" w:color="auto"/>
            <w:left w:val="none" w:sz="0" w:space="0" w:color="auto"/>
            <w:bottom w:val="none" w:sz="0" w:space="0" w:color="auto"/>
            <w:right w:val="none" w:sz="0" w:space="0" w:color="auto"/>
          </w:divBdr>
        </w:div>
      </w:divsChild>
    </w:div>
    <w:div w:id="1656638589">
      <w:bodyDiv w:val="1"/>
      <w:marLeft w:val="0"/>
      <w:marRight w:val="0"/>
      <w:marTop w:val="0"/>
      <w:marBottom w:val="0"/>
      <w:divBdr>
        <w:top w:val="none" w:sz="0" w:space="0" w:color="auto"/>
        <w:left w:val="none" w:sz="0" w:space="0" w:color="auto"/>
        <w:bottom w:val="none" w:sz="0" w:space="0" w:color="auto"/>
        <w:right w:val="none" w:sz="0" w:space="0" w:color="auto"/>
      </w:divBdr>
      <w:divsChild>
        <w:div w:id="1681351459">
          <w:marLeft w:val="0"/>
          <w:marRight w:val="0"/>
          <w:marTop w:val="0"/>
          <w:marBottom w:val="0"/>
          <w:divBdr>
            <w:top w:val="none" w:sz="0" w:space="0" w:color="auto"/>
            <w:left w:val="none" w:sz="0" w:space="0" w:color="auto"/>
            <w:bottom w:val="none" w:sz="0" w:space="0" w:color="auto"/>
            <w:right w:val="none" w:sz="0" w:space="0" w:color="auto"/>
          </w:divBdr>
        </w:div>
      </w:divsChild>
    </w:div>
    <w:div w:id="1658724658">
      <w:bodyDiv w:val="1"/>
      <w:marLeft w:val="0"/>
      <w:marRight w:val="0"/>
      <w:marTop w:val="0"/>
      <w:marBottom w:val="0"/>
      <w:divBdr>
        <w:top w:val="none" w:sz="0" w:space="0" w:color="auto"/>
        <w:left w:val="none" w:sz="0" w:space="0" w:color="auto"/>
        <w:bottom w:val="none" w:sz="0" w:space="0" w:color="auto"/>
        <w:right w:val="none" w:sz="0" w:space="0" w:color="auto"/>
      </w:divBdr>
      <w:divsChild>
        <w:div w:id="5179585">
          <w:marLeft w:val="0"/>
          <w:marRight w:val="0"/>
          <w:marTop w:val="0"/>
          <w:marBottom w:val="0"/>
          <w:divBdr>
            <w:top w:val="none" w:sz="0" w:space="0" w:color="auto"/>
            <w:left w:val="none" w:sz="0" w:space="0" w:color="auto"/>
            <w:bottom w:val="none" w:sz="0" w:space="0" w:color="auto"/>
            <w:right w:val="none" w:sz="0" w:space="0" w:color="auto"/>
          </w:divBdr>
        </w:div>
      </w:divsChild>
    </w:div>
    <w:div w:id="1659654420">
      <w:bodyDiv w:val="1"/>
      <w:marLeft w:val="0"/>
      <w:marRight w:val="0"/>
      <w:marTop w:val="0"/>
      <w:marBottom w:val="0"/>
      <w:divBdr>
        <w:top w:val="none" w:sz="0" w:space="0" w:color="auto"/>
        <w:left w:val="none" w:sz="0" w:space="0" w:color="auto"/>
        <w:bottom w:val="none" w:sz="0" w:space="0" w:color="auto"/>
        <w:right w:val="none" w:sz="0" w:space="0" w:color="auto"/>
      </w:divBdr>
    </w:div>
    <w:div w:id="1662155545">
      <w:bodyDiv w:val="1"/>
      <w:marLeft w:val="0"/>
      <w:marRight w:val="0"/>
      <w:marTop w:val="0"/>
      <w:marBottom w:val="0"/>
      <w:divBdr>
        <w:top w:val="none" w:sz="0" w:space="0" w:color="auto"/>
        <w:left w:val="none" w:sz="0" w:space="0" w:color="auto"/>
        <w:bottom w:val="none" w:sz="0" w:space="0" w:color="auto"/>
        <w:right w:val="none" w:sz="0" w:space="0" w:color="auto"/>
      </w:divBdr>
      <w:divsChild>
        <w:div w:id="841047726">
          <w:marLeft w:val="0"/>
          <w:marRight w:val="0"/>
          <w:marTop w:val="0"/>
          <w:marBottom w:val="0"/>
          <w:divBdr>
            <w:top w:val="none" w:sz="0" w:space="0" w:color="auto"/>
            <w:left w:val="none" w:sz="0" w:space="0" w:color="auto"/>
            <w:bottom w:val="none" w:sz="0" w:space="0" w:color="auto"/>
            <w:right w:val="none" w:sz="0" w:space="0" w:color="auto"/>
          </w:divBdr>
        </w:div>
      </w:divsChild>
    </w:div>
    <w:div w:id="1663197160">
      <w:bodyDiv w:val="1"/>
      <w:marLeft w:val="0"/>
      <w:marRight w:val="0"/>
      <w:marTop w:val="0"/>
      <w:marBottom w:val="0"/>
      <w:divBdr>
        <w:top w:val="none" w:sz="0" w:space="0" w:color="auto"/>
        <w:left w:val="none" w:sz="0" w:space="0" w:color="auto"/>
        <w:bottom w:val="none" w:sz="0" w:space="0" w:color="auto"/>
        <w:right w:val="none" w:sz="0" w:space="0" w:color="auto"/>
      </w:divBdr>
      <w:divsChild>
        <w:div w:id="2016035494">
          <w:marLeft w:val="0"/>
          <w:marRight w:val="0"/>
          <w:marTop w:val="0"/>
          <w:marBottom w:val="0"/>
          <w:divBdr>
            <w:top w:val="none" w:sz="0" w:space="0" w:color="auto"/>
            <w:left w:val="none" w:sz="0" w:space="0" w:color="auto"/>
            <w:bottom w:val="none" w:sz="0" w:space="0" w:color="auto"/>
            <w:right w:val="none" w:sz="0" w:space="0" w:color="auto"/>
          </w:divBdr>
        </w:div>
      </w:divsChild>
    </w:div>
    <w:div w:id="1665545721">
      <w:bodyDiv w:val="1"/>
      <w:marLeft w:val="0"/>
      <w:marRight w:val="0"/>
      <w:marTop w:val="0"/>
      <w:marBottom w:val="0"/>
      <w:divBdr>
        <w:top w:val="none" w:sz="0" w:space="0" w:color="auto"/>
        <w:left w:val="none" w:sz="0" w:space="0" w:color="auto"/>
        <w:bottom w:val="none" w:sz="0" w:space="0" w:color="auto"/>
        <w:right w:val="none" w:sz="0" w:space="0" w:color="auto"/>
      </w:divBdr>
      <w:divsChild>
        <w:div w:id="1988897287">
          <w:marLeft w:val="0"/>
          <w:marRight w:val="0"/>
          <w:marTop w:val="0"/>
          <w:marBottom w:val="0"/>
          <w:divBdr>
            <w:top w:val="none" w:sz="0" w:space="0" w:color="auto"/>
            <w:left w:val="none" w:sz="0" w:space="0" w:color="auto"/>
            <w:bottom w:val="none" w:sz="0" w:space="0" w:color="auto"/>
            <w:right w:val="none" w:sz="0" w:space="0" w:color="auto"/>
          </w:divBdr>
        </w:div>
      </w:divsChild>
    </w:div>
    <w:div w:id="1667246969">
      <w:bodyDiv w:val="1"/>
      <w:marLeft w:val="0"/>
      <w:marRight w:val="0"/>
      <w:marTop w:val="0"/>
      <w:marBottom w:val="0"/>
      <w:divBdr>
        <w:top w:val="none" w:sz="0" w:space="0" w:color="auto"/>
        <w:left w:val="none" w:sz="0" w:space="0" w:color="auto"/>
        <w:bottom w:val="none" w:sz="0" w:space="0" w:color="auto"/>
        <w:right w:val="none" w:sz="0" w:space="0" w:color="auto"/>
      </w:divBdr>
      <w:divsChild>
        <w:div w:id="1384408367">
          <w:marLeft w:val="0"/>
          <w:marRight w:val="0"/>
          <w:marTop w:val="0"/>
          <w:marBottom w:val="0"/>
          <w:divBdr>
            <w:top w:val="none" w:sz="0" w:space="0" w:color="auto"/>
            <w:left w:val="none" w:sz="0" w:space="0" w:color="auto"/>
            <w:bottom w:val="none" w:sz="0" w:space="0" w:color="auto"/>
            <w:right w:val="none" w:sz="0" w:space="0" w:color="auto"/>
          </w:divBdr>
        </w:div>
      </w:divsChild>
    </w:div>
    <w:div w:id="1669989209">
      <w:bodyDiv w:val="1"/>
      <w:marLeft w:val="0"/>
      <w:marRight w:val="0"/>
      <w:marTop w:val="0"/>
      <w:marBottom w:val="0"/>
      <w:divBdr>
        <w:top w:val="none" w:sz="0" w:space="0" w:color="auto"/>
        <w:left w:val="none" w:sz="0" w:space="0" w:color="auto"/>
        <w:bottom w:val="none" w:sz="0" w:space="0" w:color="auto"/>
        <w:right w:val="none" w:sz="0" w:space="0" w:color="auto"/>
      </w:divBdr>
    </w:div>
    <w:div w:id="1671711418">
      <w:bodyDiv w:val="1"/>
      <w:marLeft w:val="0"/>
      <w:marRight w:val="0"/>
      <w:marTop w:val="0"/>
      <w:marBottom w:val="0"/>
      <w:divBdr>
        <w:top w:val="none" w:sz="0" w:space="0" w:color="auto"/>
        <w:left w:val="none" w:sz="0" w:space="0" w:color="auto"/>
        <w:bottom w:val="none" w:sz="0" w:space="0" w:color="auto"/>
        <w:right w:val="none" w:sz="0" w:space="0" w:color="auto"/>
      </w:divBdr>
      <w:divsChild>
        <w:div w:id="2064743395">
          <w:marLeft w:val="0"/>
          <w:marRight w:val="0"/>
          <w:marTop w:val="0"/>
          <w:marBottom w:val="0"/>
          <w:divBdr>
            <w:top w:val="none" w:sz="0" w:space="0" w:color="auto"/>
            <w:left w:val="none" w:sz="0" w:space="0" w:color="auto"/>
            <w:bottom w:val="none" w:sz="0" w:space="0" w:color="auto"/>
            <w:right w:val="none" w:sz="0" w:space="0" w:color="auto"/>
          </w:divBdr>
        </w:div>
      </w:divsChild>
    </w:div>
    <w:div w:id="1681539653">
      <w:bodyDiv w:val="1"/>
      <w:marLeft w:val="0"/>
      <w:marRight w:val="0"/>
      <w:marTop w:val="0"/>
      <w:marBottom w:val="0"/>
      <w:divBdr>
        <w:top w:val="none" w:sz="0" w:space="0" w:color="auto"/>
        <w:left w:val="none" w:sz="0" w:space="0" w:color="auto"/>
        <w:bottom w:val="none" w:sz="0" w:space="0" w:color="auto"/>
        <w:right w:val="none" w:sz="0" w:space="0" w:color="auto"/>
      </w:divBdr>
      <w:divsChild>
        <w:div w:id="734595876">
          <w:marLeft w:val="0"/>
          <w:marRight w:val="0"/>
          <w:marTop w:val="0"/>
          <w:marBottom w:val="0"/>
          <w:divBdr>
            <w:top w:val="none" w:sz="0" w:space="0" w:color="auto"/>
            <w:left w:val="none" w:sz="0" w:space="0" w:color="auto"/>
            <w:bottom w:val="none" w:sz="0" w:space="0" w:color="auto"/>
            <w:right w:val="none" w:sz="0" w:space="0" w:color="auto"/>
          </w:divBdr>
        </w:div>
      </w:divsChild>
    </w:div>
    <w:div w:id="1686130569">
      <w:bodyDiv w:val="1"/>
      <w:marLeft w:val="0"/>
      <w:marRight w:val="0"/>
      <w:marTop w:val="0"/>
      <w:marBottom w:val="0"/>
      <w:divBdr>
        <w:top w:val="none" w:sz="0" w:space="0" w:color="auto"/>
        <w:left w:val="none" w:sz="0" w:space="0" w:color="auto"/>
        <w:bottom w:val="none" w:sz="0" w:space="0" w:color="auto"/>
        <w:right w:val="none" w:sz="0" w:space="0" w:color="auto"/>
      </w:divBdr>
      <w:divsChild>
        <w:div w:id="853887100">
          <w:marLeft w:val="0"/>
          <w:marRight w:val="0"/>
          <w:marTop w:val="0"/>
          <w:marBottom w:val="0"/>
          <w:divBdr>
            <w:top w:val="none" w:sz="0" w:space="0" w:color="auto"/>
            <w:left w:val="none" w:sz="0" w:space="0" w:color="auto"/>
            <w:bottom w:val="none" w:sz="0" w:space="0" w:color="auto"/>
            <w:right w:val="none" w:sz="0" w:space="0" w:color="auto"/>
          </w:divBdr>
        </w:div>
      </w:divsChild>
    </w:div>
    <w:div w:id="1703893804">
      <w:bodyDiv w:val="1"/>
      <w:marLeft w:val="0"/>
      <w:marRight w:val="0"/>
      <w:marTop w:val="0"/>
      <w:marBottom w:val="0"/>
      <w:divBdr>
        <w:top w:val="none" w:sz="0" w:space="0" w:color="auto"/>
        <w:left w:val="none" w:sz="0" w:space="0" w:color="auto"/>
        <w:bottom w:val="none" w:sz="0" w:space="0" w:color="auto"/>
        <w:right w:val="none" w:sz="0" w:space="0" w:color="auto"/>
      </w:divBdr>
      <w:divsChild>
        <w:div w:id="1795521664">
          <w:marLeft w:val="0"/>
          <w:marRight w:val="0"/>
          <w:marTop w:val="0"/>
          <w:marBottom w:val="0"/>
          <w:divBdr>
            <w:top w:val="none" w:sz="0" w:space="0" w:color="auto"/>
            <w:left w:val="none" w:sz="0" w:space="0" w:color="auto"/>
            <w:bottom w:val="none" w:sz="0" w:space="0" w:color="auto"/>
            <w:right w:val="none" w:sz="0" w:space="0" w:color="auto"/>
          </w:divBdr>
        </w:div>
      </w:divsChild>
    </w:div>
    <w:div w:id="1712727787">
      <w:bodyDiv w:val="1"/>
      <w:marLeft w:val="0"/>
      <w:marRight w:val="0"/>
      <w:marTop w:val="0"/>
      <w:marBottom w:val="0"/>
      <w:divBdr>
        <w:top w:val="none" w:sz="0" w:space="0" w:color="auto"/>
        <w:left w:val="none" w:sz="0" w:space="0" w:color="auto"/>
        <w:bottom w:val="none" w:sz="0" w:space="0" w:color="auto"/>
        <w:right w:val="none" w:sz="0" w:space="0" w:color="auto"/>
      </w:divBdr>
      <w:divsChild>
        <w:div w:id="1321814371">
          <w:marLeft w:val="0"/>
          <w:marRight w:val="0"/>
          <w:marTop w:val="0"/>
          <w:marBottom w:val="0"/>
          <w:divBdr>
            <w:top w:val="none" w:sz="0" w:space="0" w:color="auto"/>
            <w:left w:val="none" w:sz="0" w:space="0" w:color="auto"/>
            <w:bottom w:val="none" w:sz="0" w:space="0" w:color="auto"/>
            <w:right w:val="none" w:sz="0" w:space="0" w:color="auto"/>
          </w:divBdr>
        </w:div>
      </w:divsChild>
    </w:div>
    <w:div w:id="1715887317">
      <w:bodyDiv w:val="1"/>
      <w:marLeft w:val="0"/>
      <w:marRight w:val="0"/>
      <w:marTop w:val="0"/>
      <w:marBottom w:val="0"/>
      <w:divBdr>
        <w:top w:val="none" w:sz="0" w:space="0" w:color="auto"/>
        <w:left w:val="none" w:sz="0" w:space="0" w:color="auto"/>
        <w:bottom w:val="none" w:sz="0" w:space="0" w:color="auto"/>
        <w:right w:val="none" w:sz="0" w:space="0" w:color="auto"/>
      </w:divBdr>
    </w:div>
    <w:div w:id="1718581275">
      <w:bodyDiv w:val="1"/>
      <w:marLeft w:val="0"/>
      <w:marRight w:val="0"/>
      <w:marTop w:val="0"/>
      <w:marBottom w:val="0"/>
      <w:divBdr>
        <w:top w:val="none" w:sz="0" w:space="0" w:color="auto"/>
        <w:left w:val="none" w:sz="0" w:space="0" w:color="auto"/>
        <w:bottom w:val="none" w:sz="0" w:space="0" w:color="auto"/>
        <w:right w:val="none" w:sz="0" w:space="0" w:color="auto"/>
      </w:divBdr>
    </w:div>
    <w:div w:id="1728600456">
      <w:bodyDiv w:val="1"/>
      <w:marLeft w:val="0"/>
      <w:marRight w:val="0"/>
      <w:marTop w:val="0"/>
      <w:marBottom w:val="0"/>
      <w:divBdr>
        <w:top w:val="none" w:sz="0" w:space="0" w:color="auto"/>
        <w:left w:val="none" w:sz="0" w:space="0" w:color="auto"/>
        <w:bottom w:val="none" w:sz="0" w:space="0" w:color="auto"/>
        <w:right w:val="none" w:sz="0" w:space="0" w:color="auto"/>
      </w:divBdr>
    </w:div>
    <w:div w:id="1733968295">
      <w:bodyDiv w:val="1"/>
      <w:marLeft w:val="0"/>
      <w:marRight w:val="0"/>
      <w:marTop w:val="0"/>
      <w:marBottom w:val="0"/>
      <w:divBdr>
        <w:top w:val="none" w:sz="0" w:space="0" w:color="auto"/>
        <w:left w:val="none" w:sz="0" w:space="0" w:color="auto"/>
        <w:bottom w:val="none" w:sz="0" w:space="0" w:color="auto"/>
        <w:right w:val="none" w:sz="0" w:space="0" w:color="auto"/>
      </w:divBdr>
      <w:divsChild>
        <w:div w:id="1441677426">
          <w:marLeft w:val="0"/>
          <w:marRight w:val="0"/>
          <w:marTop w:val="0"/>
          <w:marBottom w:val="0"/>
          <w:divBdr>
            <w:top w:val="none" w:sz="0" w:space="0" w:color="auto"/>
            <w:left w:val="none" w:sz="0" w:space="0" w:color="auto"/>
            <w:bottom w:val="none" w:sz="0" w:space="0" w:color="auto"/>
            <w:right w:val="none" w:sz="0" w:space="0" w:color="auto"/>
          </w:divBdr>
        </w:div>
      </w:divsChild>
    </w:div>
    <w:div w:id="1735425491">
      <w:bodyDiv w:val="1"/>
      <w:marLeft w:val="0"/>
      <w:marRight w:val="0"/>
      <w:marTop w:val="0"/>
      <w:marBottom w:val="0"/>
      <w:divBdr>
        <w:top w:val="none" w:sz="0" w:space="0" w:color="auto"/>
        <w:left w:val="none" w:sz="0" w:space="0" w:color="auto"/>
        <w:bottom w:val="none" w:sz="0" w:space="0" w:color="auto"/>
        <w:right w:val="none" w:sz="0" w:space="0" w:color="auto"/>
      </w:divBdr>
    </w:div>
    <w:div w:id="1772772841">
      <w:bodyDiv w:val="1"/>
      <w:marLeft w:val="0"/>
      <w:marRight w:val="0"/>
      <w:marTop w:val="0"/>
      <w:marBottom w:val="0"/>
      <w:divBdr>
        <w:top w:val="none" w:sz="0" w:space="0" w:color="auto"/>
        <w:left w:val="none" w:sz="0" w:space="0" w:color="auto"/>
        <w:bottom w:val="none" w:sz="0" w:space="0" w:color="auto"/>
        <w:right w:val="none" w:sz="0" w:space="0" w:color="auto"/>
      </w:divBdr>
      <w:divsChild>
        <w:div w:id="1089885493">
          <w:marLeft w:val="0"/>
          <w:marRight w:val="0"/>
          <w:marTop w:val="0"/>
          <w:marBottom w:val="0"/>
          <w:divBdr>
            <w:top w:val="none" w:sz="0" w:space="0" w:color="auto"/>
            <w:left w:val="none" w:sz="0" w:space="0" w:color="auto"/>
            <w:bottom w:val="none" w:sz="0" w:space="0" w:color="auto"/>
            <w:right w:val="none" w:sz="0" w:space="0" w:color="auto"/>
          </w:divBdr>
        </w:div>
      </w:divsChild>
    </w:div>
    <w:div w:id="1774209112">
      <w:bodyDiv w:val="1"/>
      <w:marLeft w:val="0"/>
      <w:marRight w:val="0"/>
      <w:marTop w:val="0"/>
      <w:marBottom w:val="0"/>
      <w:divBdr>
        <w:top w:val="none" w:sz="0" w:space="0" w:color="auto"/>
        <w:left w:val="none" w:sz="0" w:space="0" w:color="auto"/>
        <w:bottom w:val="none" w:sz="0" w:space="0" w:color="auto"/>
        <w:right w:val="none" w:sz="0" w:space="0" w:color="auto"/>
      </w:divBdr>
      <w:divsChild>
        <w:div w:id="463231619">
          <w:marLeft w:val="0"/>
          <w:marRight w:val="0"/>
          <w:marTop w:val="0"/>
          <w:marBottom w:val="0"/>
          <w:divBdr>
            <w:top w:val="none" w:sz="0" w:space="0" w:color="auto"/>
            <w:left w:val="none" w:sz="0" w:space="0" w:color="auto"/>
            <w:bottom w:val="none" w:sz="0" w:space="0" w:color="auto"/>
            <w:right w:val="none" w:sz="0" w:space="0" w:color="auto"/>
          </w:divBdr>
        </w:div>
      </w:divsChild>
    </w:div>
    <w:div w:id="1774784035">
      <w:bodyDiv w:val="1"/>
      <w:marLeft w:val="0"/>
      <w:marRight w:val="0"/>
      <w:marTop w:val="0"/>
      <w:marBottom w:val="0"/>
      <w:divBdr>
        <w:top w:val="none" w:sz="0" w:space="0" w:color="auto"/>
        <w:left w:val="none" w:sz="0" w:space="0" w:color="auto"/>
        <w:bottom w:val="none" w:sz="0" w:space="0" w:color="auto"/>
        <w:right w:val="none" w:sz="0" w:space="0" w:color="auto"/>
      </w:divBdr>
      <w:divsChild>
        <w:div w:id="1073432997">
          <w:marLeft w:val="0"/>
          <w:marRight w:val="0"/>
          <w:marTop w:val="0"/>
          <w:marBottom w:val="0"/>
          <w:divBdr>
            <w:top w:val="none" w:sz="0" w:space="0" w:color="auto"/>
            <w:left w:val="none" w:sz="0" w:space="0" w:color="auto"/>
            <w:bottom w:val="none" w:sz="0" w:space="0" w:color="auto"/>
            <w:right w:val="none" w:sz="0" w:space="0" w:color="auto"/>
          </w:divBdr>
        </w:div>
      </w:divsChild>
    </w:div>
    <w:div w:id="1776628784">
      <w:bodyDiv w:val="1"/>
      <w:marLeft w:val="0"/>
      <w:marRight w:val="0"/>
      <w:marTop w:val="0"/>
      <w:marBottom w:val="0"/>
      <w:divBdr>
        <w:top w:val="none" w:sz="0" w:space="0" w:color="auto"/>
        <w:left w:val="none" w:sz="0" w:space="0" w:color="auto"/>
        <w:bottom w:val="none" w:sz="0" w:space="0" w:color="auto"/>
        <w:right w:val="none" w:sz="0" w:space="0" w:color="auto"/>
      </w:divBdr>
    </w:div>
    <w:div w:id="1779180518">
      <w:bodyDiv w:val="1"/>
      <w:marLeft w:val="0"/>
      <w:marRight w:val="0"/>
      <w:marTop w:val="0"/>
      <w:marBottom w:val="0"/>
      <w:divBdr>
        <w:top w:val="none" w:sz="0" w:space="0" w:color="auto"/>
        <w:left w:val="none" w:sz="0" w:space="0" w:color="auto"/>
        <w:bottom w:val="none" w:sz="0" w:space="0" w:color="auto"/>
        <w:right w:val="none" w:sz="0" w:space="0" w:color="auto"/>
      </w:divBdr>
      <w:divsChild>
        <w:div w:id="1447500461">
          <w:marLeft w:val="0"/>
          <w:marRight w:val="0"/>
          <w:marTop w:val="0"/>
          <w:marBottom w:val="0"/>
          <w:divBdr>
            <w:top w:val="none" w:sz="0" w:space="0" w:color="auto"/>
            <w:left w:val="none" w:sz="0" w:space="0" w:color="auto"/>
            <w:bottom w:val="none" w:sz="0" w:space="0" w:color="auto"/>
            <w:right w:val="none" w:sz="0" w:space="0" w:color="auto"/>
          </w:divBdr>
        </w:div>
      </w:divsChild>
    </w:div>
    <w:div w:id="1780367412">
      <w:bodyDiv w:val="1"/>
      <w:marLeft w:val="0"/>
      <w:marRight w:val="0"/>
      <w:marTop w:val="0"/>
      <w:marBottom w:val="0"/>
      <w:divBdr>
        <w:top w:val="none" w:sz="0" w:space="0" w:color="auto"/>
        <w:left w:val="none" w:sz="0" w:space="0" w:color="auto"/>
        <w:bottom w:val="none" w:sz="0" w:space="0" w:color="auto"/>
        <w:right w:val="none" w:sz="0" w:space="0" w:color="auto"/>
      </w:divBdr>
    </w:div>
    <w:div w:id="1793549338">
      <w:bodyDiv w:val="1"/>
      <w:marLeft w:val="0"/>
      <w:marRight w:val="0"/>
      <w:marTop w:val="0"/>
      <w:marBottom w:val="0"/>
      <w:divBdr>
        <w:top w:val="none" w:sz="0" w:space="0" w:color="auto"/>
        <w:left w:val="none" w:sz="0" w:space="0" w:color="auto"/>
        <w:bottom w:val="none" w:sz="0" w:space="0" w:color="auto"/>
        <w:right w:val="none" w:sz="0" w:space="0" w:color="auto"/>
      </w:divBdr>
    </w:div>
    <w:div w:id="1797796751">
      <w:bodyDiv w:val="1"/>
      <w:marLeft w:val="0"/>
      <w:marRight w:val="0"/>
      <w:marTop w:val="0"/>
      <w:marBottom w:val="0"/>
      <w:divBdr>
        <w:top w:val="none" w:sz="0" w:space="0" w:color="auto"/>
        <w:left w:val="none" w:sz="0" w:space="0" w:color="auto"/>
        <w:bottom w:val="none" w:sz="0" w:space="0" w:color="auto"/>
        <w:right w:val="none" w:sz="0" w:space="0" w:color="auto"/>
      </w:divBdr>
      <w:divsChild>
        <w:div w:id="677776047">
          <w:marLeft w:val="0"/>
          <w:marRight w:val="0"/>
          <w:marTop w:val="0"/>
          <w:marBottom w:val="0"/>
          <w:divBdr>
            <w:top w:val="none" w:sz="0" w:space="0" w:color="auto"/>
            <w:left w:val="none" w:sz="0" w:space="0" w:color="auto"/>
            <w:bottom w:val="none" w:sz="0" w:space="0" w:color="auto"/>
            <w:right w:val="none" w:sz="0" w:space="0" w:color="auto"/>
          </w:divBdr>
        </w:div>
      </w:divsChild>
    </w:div>
    <w:div w:id="1803182795">
      <w:bodyDiv w:val="1"/>
      <w:marLeft w:val="0"/>
      <w:marRight w:val="0"/>
      <w:marTop w:val="0"/>
      <w:marBottom w:val="0"/>
      <w:divBdr>
        <w:top w:val="none" w:sz="0" w:space="0" w:color="auto"/>
        <w:left w:val="none" w:sz="0" w:space="0" w:color="auto"/>
        <w:bottom w:val="none" w:sz="0" w:space="0" w:color="auto"/>
        <w:right w:val="none" w:sz="0" w:space="0" w:color="auto"/>
      </w:divBdr>
      <w:divsChild>
        <w:div w:id="491720878">
          <w:marLeft w:val="0"/>
          <w:marRight w:val="0"/>
          <w:marTop w:val="0"/>
          <w:marBottom w:val="0"/>
          <w:divBdr>
            <w:top w:val="none" w:sz="0" w:space="0" w:color="auto"/>
            <w:left w:val="none" w:sz="0" w:space="0" w:color="auto"/>
            <w:bottom w:val="none" w:sz="0" w:space="0" w:color="auto"/>
            <w:right w:val="none" w:sz="0" w:space="0" w:color="auto"/>
          </w:divBdr>
        </w:div>
      </w:divsChild>
    </w:div>
    <w:div w:id="1815875901">
      <w:bodyDiv w:val="1"/>
      <w:marLeft w:val="0"/>
      <w:marRight w:val="0"/>
      <w:marTop w:val="0"/>
      <w:marBottom w:val="0"/>
      <w:divBdr>
        <w:top w:val="none" w:sz="0" w:space="0" w:color="auto"/>
        <w:left w:val="none" w:sz="0" w:space="0" w:color="auto"/>
        <w:bottom w:val="none" w:sz="0" w:space="0" w:color="auto"/>
        <w:right w:val="none" w:sz="0" w:space="0" w:color="auto"/>
      </w:divBdr>
      <w:divsChild>
        <w:div w:id="678238913">
          <w:marLeft w:val="0"/>
          <w:marRight w:val="0"/>
          <w:marTop w:val="0"/>
          <w:marBottom w:val="0"/>
          <w:divBdr>
            <w:top w:val="none" w:sz="0" w:space="0" w:color="auto"/>
            <w:left w:val="none" w:sz="0" w:space="0" w:color="auto"/>
            <w:bottom w:val="none" w:sz="0" w:space="0" w:color="auto"/>
            <w:right w:val="none" w:sz="0" w:space="0" w:color="auto"/>
          </w:divBdr>
        </w:div>
      </w:divsChild>
    </w:div>
    <w:div w:id="1818379724">
      <w:bodyDiv w:val="1"/>
      <w:marLeft w:val="0"/>
      <w:marRight w:val="0"/>
      <w:marTop w:val="0"/>
      <w:marBottom w:val="0"/>
      <w:divBdr>
        <w:top w:val="none" w:sz="0" w:space="0" w:color="auto"/>
        <w:left w:val="none" w:sz="0" w:space="0" w:color="auto"/>
        <w:bottom w:val="none" w:sz="0" w:space="0" w:color="auto"/>
        <w:right w:val="none" w:sz="0" w:space="0" w:color="auto"/>
      </w:divBdr>
    </w:div>
    <w:div w:id="1819298371">
      <w:bodyDiv w:val="1"/>
      <w:marLeft w:val="0"/>
      <w:marRight w:val="0"/>
      <w:marTop w:val="0"/>
      <w:marBottom w:val="0"/>
      <w:divBdr>
        <w:top w:val="none" w:sz="0" w:space="0" w:color="auto"/>
        <w:left w:val="none" w:sz="0" w:space="0" w:color="auto"/>
        <w:bottom w:val="none" w:sz="0" w:space="0" w:color="auto"/>
        <w:right w:val="none" w:sz="0" w:space="0" w:color="auto"/>
      </w:divBdr>
      <w:divsChild>
        <w:div w:id="409161022">
          <w:marLeft w:val="0"/>
          <w:marRight w:val="0"/>
          <w:marTop w:val="0"/>
          <w:marBottom w:val="0"/>
          <w:divBdr>
            <w:top w:val="none" w:sz="0" w:space="0" w:color="auto"/>
            <w:left w:val="none" w:sz="0" w:space="0" w:color="auto"/>
            <w:bottom w:val="none" w:sz="0" w:space="0" w:color="auto"/>
            <w:right w:val="none" w:sz="0" w:space="0" w:color="auto"/>
          </w:divBdr>
        </w:div>
      </w:divsChild>
    </w:div>
    <w:div w:id="1821343705">
      <w:bodyDiv w:val="1"/>
      <w:marLeft w:val="0"/>
      <w:marRight w:val="0"/>
      <w:marTop w:val="0"/>
      <w:marBottom w:val="0"/>
      <w:divBdr>
        <w:top w:val="none" w:sz="0" w:space="0" w:color="auto"/>
        <w:left w:val="none" w:sz="0" w:space="0" w:color="auto"/>
        <w:bottom w:val="none" w:sz="0" w:space="0" w:color="auto"/>
        <w:right w:val="none" w:sz="0" w:space="0" w:color="auto"/>
      </w:divBdr>
      <w:divsChild>
        <w:div w:id="2097288596">
          <w:marLeft w:val="0"/>
          <w:marRight w:val="0"/>
          <w:marTop w:val="0"/>
          <w:marBottom w:val="0"/>
          <w:divBdr>
            <w:top w:val="none" w:sz="0" w:space="0" w:color="auto"/>
            <w:left w:val="none" w:sz="0" w:space="0" w:color="auto"/>
            <w:bottom w:val="none" w:sz="0" w:space="0" w:color="auto"/>
            <w:right w:val="none" w:sz="0" w:space="0" w:color="auto"/>
          </w:divBdr>
        </w:div>
      </w:divsChild>
    </w:div>
    <w:div w:id="1823620211">
      <w:bodyDiv w:val="1"/>
      <w:marLeft w:val="0"/>
      <w:marRight w:val="0"/>
      <w:marTop w:val="0"/>
      <w:marBottom w:val="0"/>
      <w:divBdr>
        <w:top w:val="none" w:sz="0" w:space="0" w:color="auto"/>
        <w:left w:val="none" w:sz="0" w:space="0" w:color="auto"/>
        <w:bottom w:val="none" w:sz="0" w:space="0" w:color="auto"/>
        <w:right w:val="none" w:sz="0" w:space="0" w:color="auto"/>
      </w:divBdr>
      <w:divsChild>
        <w:div w:id="1987394197">
          <w:marLeft w:val="0"/>
          <w:marRight w:val="0"/>
          <w:marTop w:val="0"/>
          <w:marBottom w:val="0"/>
          <w:divBdr>
            <w:top w:val="none" w:sz="0" w:space="0" w:color="auto"/>
            <w:left w:val="none" w:sz="0" w:space="0" w:color="auto"/>
            <w:bottom w:val="none" w:sz="0" w:space="0" w:color="auto"/>
            <w:right w:val="none" w:sz="0" w:space="0" w:color="auto"/>
          </w:divBdr>
        </w:div>
      </w:divsChild>
    </w:div>
    <w:div w:id="1835024455">
      <w:bodyDiv w:val="1"/>
      <w:marLeft w:val="0"/>
      <w:marRight w:val="0"/>
      <w:marTop w:val="0"/>
      <w:marBottom w:val="0"/>
      <w:divBdr>
        <w:top w:val="none" w:sz="0" w:space="0" w:color="auto"/>
        <w:left w:val="none" w:sz="0" w:space="0" w:color="auto"/>
        <w:bottom w:val="none" w:sz="0" w:space="0" w:color="auto"/>
        <w:right w:val="none" w:sz="0" w:space="0" w:color="auto"/>
      </w:divBdr>
    </w:div>
    <w:div w:id="1846893031">
      <w:bodyDiv w:val="1"/>
      <w:marLeft w:val="0"/>
      <w:marRight w:val="0"/>
      <w:marTop w:val="0"/>
      <w:marBottom w:val="0"/>
      <w:divBdr>
        <w:top w:val="none" w:sz="0" w:space="0" w:color="auto"/>
        <w:left w:val="none" w:sz="0" w:space="0" w:color="auto"/>
        <w:bottom w:val="none" w:sz="0" w:space="0" w:color="auto"/>
        <w:right w:val="none" w:sz="0" w:space="0" w:color="auto"/>
      </w:divBdr>
      <w:divsChild>
        <w:div w:id="1335456709">
          <w:marLeft w:val="0"/>
          <w:marRight w:val="0"/>
          <w:marTop w:val="0"/>
          <w:marBottom w:val="0"/>
          <w:divBdr>
            <w:top w:val="none" w:sz="0" w:space="0" w:color="auto"/>
            <w:left w:val="none" w:sz="0" w:space="0" w:color="auto"/>
            <w:bottom w:val="none" w:sz="0" w:space="0" w:color="auto"/>
            <w:right w:val="none" w:sz="0" w:space="0" w:color="auto"/>
          </w:divBdr>
        </w:div>
      </w:divsChild>
    </w:div>
    <w:div w:id="1848598492">
      <w:bodyDiv w:val="1"/>
      <w:marLeft w:val="0"/>
      <w:marRight w:val="0"/>
      <w:marTop w:val="0"/>
      <w:marBottom w:val="0"/>
      <w:divBdr>
        <w:top w:val="none" w:sz="0" w:space="0" w:color="auto"/>
        <w:left w:val="none" w:sz="0" w:space="0" w:color="auto"/>
        <w:bottom w:val="none" w:sz="0" w:space="0" w:color="auto"/>
        <w:right w:val="none" w:sz="0" w:space="0" w:color="auto"/>
      </w:divBdr>
      <w:divsChild>
        <w:div w:id="2010017993">
          <w:marLeft w:val="0"/>
          <w:marRight w:val="0"/>
          <w:marTop w:val="0"/>
          <w:marBottom w:val="0"/>
          <w:divBdr>
            <w:top w:val="none" w:sz="0" w:space="0" w:color="auto"/>
            <w:left w:val="none" w:sz="0" w:space="0" w:color="auto"/>
            <w:bottom w:val="none" w:sz="0" w:space="0" w:color="auto"/>
            <w:right w:val="none" w:sz="0" w:space="0" w:color="auto"/>
          </w:divBdr>
        </w:div>
      </w:divsChild>
    </w:div>
    <w:div w:id="1848784997">
      <w:bodyDiv w:val="1"/>
      <w:marLeft w:val="0"/>
      <w:marRight w:val="0"/>
      <w:marTop w:val="0"/>
      <w:marBottom w:val="0"/>
      <w:divBdr>
        <w:top w:val="none" w:sz="0" w:space="0" w:color="auto"/>
        <w:left w:val="none" w:sz="0" w:space="0" w:color="auto"/>
        <w:bottom w:val="none" w:sz="0" w:space="0" w:color="auto"/>
        <w:right w:val="none" w:sz="0" w:space="0" w:color="auto"/>
      </w:divBdr>
      <w:divsChild>
        <w:div w:id="232201271">
          <w:marLeft w:val="0"/>
          <w:marRight w:val="0"/>
          <w:marTop w:val="0"/>
          <w:marBottom w:val="0"/>
          <w:divBdr>
            <w:top w:val="none" w:sz="0" w:space="0" w:color="auto"/>
            <w:left w:val="none" w:sz="0" w:space="0" w:color="auto"/>
            <w:bottom w:val="none" w:sz="0" w:space="0" w:color="auto"/>
            <w:right w:val="none" w:sz="0" w:space="0" w:color="auto"/>
          </w:divBdr>
        </w:div>
      </w:divsChild>
    </w:div>
    <w:div w:id="1851337327">
      <w:bodyDiv w:val="1"/>
      <w:marLeft w:val="0"/>
      <w:marRight w:val="0"/>
      <w:marTop w:val="0"/>
      <w:marBottom w:val="0"/>
      <w:divBdr>
        <w:top w:val="none" w:sz="0" w:space="0" w:color="auto"/>
        <w:left w:val="none" w:sz="0" w:space="0" w:color="auto"/>
        <w:bottom w:val="none" w:sz="0" w:space="0" w:color="auto"/>
        <w:right w:val="none" w:sz="0" w:space="0" w:color="auto"/>
      </w:divBdr>
    </w:div>
    <w:div w:id="1856456506">
      <w:bodyDiv w:val="1"/>
      <w:marLeft w:val="0"/>
      <w:marRight w:val="0"/>
      <w:marTop w:val="0"/>
      <w:marBottom w:val="0"/>
      <w:divBdr>
        <w:top w:val="none" w:sz="0" w:space="0" w:color="auto"/>
        <w:left w:val="none" w:sz="0" w:space="0" w:color="auto"/>
        <w:bottom w:val="none" w:sz="0" w:space="0" w:color="auto"/>
        <w:right w:val="none" w:sz="0" w:space="0" w:color="auto"/>
      </w:divBdr>
      <w:divsChild>
        <w:div w:id="604265388">
          <w:marLeft w:val="0"/>
          <w:marRight w:val="0"/>
          <w:marTop w:val="0"/>
          <w:marBottom w:val="0"/>
          <w:divBdr>
            <w:top w:val="none" w:sz="0" w:space="0" w:color="auto"/>
            <w:left w:val="none" w:sz="0" w:space="0" w:color="auto"/>
            <w:bottom w:val="none" w:sz="0" w:space="0" w:color="auto"/>
            <w:right w:val="none" w:sz="0" w:space="0" w:color="auto"/>
          </w:divBdr>
        </w:div>
      </w:divsChild>
    </w:div>
    <w:div w:id="1857183565">
      <w:bodyDiv w:val="1"/>
      <w:marLeft w:val="0"/>
      <w:marRight w:val="0"/>
      <w:marTop w:val="0"/>
      <w:marBottom w:val="0"/>
      <w:divBdr>
        <w:top w:val="none" w:sz="0" w:space="0" w:color="auto"/>
        <w:left w:val="none" w:sz="0" w:space="0" w:color="auto"/>
        <w:bottom w:val="none" w:sz="0" w:space="0" w:color="auto"/>
        <w:right w:val="none" w:sz="0" w:space="0" w:color="auto"/>
      </w:divBdr>
    </w:div>
    <w:div w:id="1858929038">
      <w:bodyDiv w:val="1"/>
      <w:marLeft w:val="0"/>
      <w:marRight w:val="0"/>
      <w:marTop w:val="0"/>
      <w:marBottom w:val="0"/>
      <w:divBdr>
        <w:top w:val="none" w:sz="0" w:space="0" w:color="auto"/>
        <w:left w:val="none" w:sz="0" w:space="0" w:color="auto"/>
        <w:bottom w:val="none" w:sz="0" w:space="0" w:color="auto"/>
        <w:right w:val="none" w:sz="0" w:space="0" w:color="auto"/>
      </w:divBdr>
      <w:divsChild>
        <w:div w:id="568031950">
          <w:marLeft w:val="0"/>
          <w:marRight w:val="0"/>
          <w:marTop w:val="0"/>
          <w:marBottom w:val="0"/>
          <w:divBdr>
            <w:top w:val="none" w:sz="0" w:space="0" w:color="auto"/>
            <w:left w:val="none" w:sz="0" w:space="0" w:color="auto"/>
            <w:bottom w:val="none" w:sz="0" w:space="0" w:color="auto"/>
            <w:right w:val="none" w:sz="0" w:space="0" w:color="auto"/>
          </w:divBdr>
        </w:div>
      </w:divsChild>
    </w:div>
    <w:div w:id="1880430861">
      <w:bodyDiv w:val="1"/>
      <w:marLeft w:val="0"/>
      <w:marRight w:val="0"/>
      <w:marTop w:val="0"/>
      <w:marBottom w:val="0"/>
      <w:divBdr>
        <w:top w:val="none" w:sz="0" w:space="0" w:color="auto"/>
        <w:left w:val="none" w:sz="0" w:space="0" w:color="auto"/>
        <w:bottom w:val="none" w:sz="0" w:space="0" w:color="auto"/>
        <w:right w:val="none" w:sz="0" w:space="0" w:color="auto"/>
      </w:divBdr>
    </w:div>
    <w:div w:id="1882403782">
      <w:bodyDiv w:val="1"/>
      <w:marLeft w:val="0"/>
      <w:marRight w:val="0"/>
      <w:marTop w:val="0"/>
      <w:marBottom w:val="0"/>
      <w:divBdr>
        <w:top w:val="none" w:sz="0" w:space="0" w:color="auto"/>
        <w:left w:val="none" w:sz="0" w:space="0" w:color="auto"/>
        <w:bottom w:val="none" w:sz="0" w:space="0" w:color="auto"/>
        <w:right w:val="none" w:sz="0" w:space="0" w:color="auto"/>
      </w:divBdr>
    </w:div>
    <w:div w:id="1888686976">
      <w:bodyDiv w:val="1"/>
      <w:marLeft w:val="0"/>
      <w:marRight w:val="0"/>
      <w:marTop w:val="0"/>
      <w:marBottom w:val="0"/>
      <w:divBdr>
        <w:top w:val="none" w:sz="0" w:space="0" w:color="auto"/>
        <w:left w:val="none" w:sz="0" w:space="0" w:color="auto"/>
        <w:bottom w:val="none" w:sz="0" w:space="0" w:color="auto"/>
        <w:right w:val="none" w:sz="0" w:space="0" w:color="auto"/>
      </w:divBdr>
      <w:divsChild>
        <w:div w:id="1564825772">
          <w:marLeft w:val="0"/>
          <w:marRight w:val="0"/>
          <w:marTop w:val="0"/>
          <w:marBottom w:val="0"/>
          <w:divBdr>
            <w:top w:val="none" w:sz="0" w:space="0" w:color="auto"/>
            <w:left w:val="none" w:sz="0" w:space="0" w:color="auto"/>
            <w:bottom w:val="none" w:sz="0" w:space="0" w:color="auto"/>
            <w:right w:val="none" w:sz="0" w:space="0" w:color="auto"/>
          </w:divBdr>
        </w:div>
      </w:divsChild>
    </w:div>
    <w:div w:id="1894388842">
      <w:bodyDiv w:val="1"/>
      <w:marLeft w:val="0"/>
      <w:marRight w:val="0"/>
      <w:marTop w:val="0"/>
      <w:marBottom w:val="0"/>
      <w:divBdr>
        <w:top w:val="none" w:sz="0" w:space="0" w:color="auto"/>
        <w:left w:val="none" w:sz="0" w:space="0" w:color="auto"/>
        <w:bottom w:val="none" w:sz="0" w:space="0" w:color="auto"/>
        <w:right w:val="none" w:sz="0" w:space="0" w:color="auto"/>
      </w:divBdr>
      <w:divsChild>
        <w:div w:id="691227903">
          <w:marLeft w:val="0"/>
          <w:marRight w:val="0"/>
          <w:marTop w:val="0"/>
          <w:marBottom w:val="0"/>
          <w:divBdr>
            <w:top w:val="none" w:sz="0" w:space="0" w:color="auto"/>
            <w:left w:val="none" w:sz="0" w:space="0" w:color="auto"/>
            <w:bottom w:val="none" w:sz="0" w:space="0" w:color="auto"/>
            <w:right w:val="none" w:sz="0" w:space="0" w:color="auto"/>
          </w:divBdr>
        </w:div>
      </w:divsChild>
    </w:div>
    <w:div w:id="1897734825">
      <w:bodyDiv w:val="1"/>
      <w:marLeft w:val="0"/>
      <w:marRight w:val="0"/>
      <w:marTop w:val="0"/>
      <w:marBottom w:val="0"/>
      <w:divBdr>
        <w:top w:val="none" w:sz="0" w:space="0" w:color="auto"/>
        <w:left w:val="none" w:sz="0" w:space="0" w:color="auto"/>
        <w:bottom w:val="none" w:sz="0" w:space="0" w:color="auto"/>
        <w:right w:val="none" w:sz="0" w:space="0" w:color="auto"/>
      </w:divBdr>
      <w:divsChild>
        <w:div w:id="695621237">
          <w:marLeft w:val="0"/>
          <w:marRight w:val="0"/>
          <w:marTop w:val="0"/>
          <w:marBottom w:val="0"/>
          <w:divBdr>
            <w:top w:val="none" w:sz="0" w:space="0" w:color="auto"/>
            <w:left w:val="none" w:sz="0" w:space="0" w:color="auto"/>
            <w:bottom w:val="none" w:sz="0" w:space="0" w:color="auto"/>
            <w:right w:val="none" w:sz="0" w:space="0" w:color="auto"/>
          </w:divBdr>
        </w:div>
      </w:divsChild>
    </w:div>
    <w:div w:id="1899706140">
      <w:bodyDiv w:val="1"/>
      <w:marLeft w:val="0"/>
      <w:marRight w:val="0"/>
      <w:marTop w:val="0"/>
      <w:marBottom w:val="0"/>
      <w:divBdr>
        <w:top w:val="none" w:sz="0" w:space="0" w:color="auto"/>
        <w:left w:val="none" w:sz="0" w:space="0" w:color="auto"/>
        <w:bottom w:val="none" w:sz="0" w:space="0" w:color="auto"/>
        <w:right w:val="none" w:sz="0" w:space="0" w:color="auto"/>
      </w:divBdr>
      <w:divsChild>
        <w:div w:id="136801794">
          <w:marLeft w:val="0"/>
          <w:marRight w:val="0"/>
          <w:marTop w:val="0"/>
          <w:marBottom w:val="0"/>
          <w:divBdr>
            <w:top w:val="none" w:sz="0" w:space="0" w:color="auto"/>
            <w:left w:val="none" w:sz="0" w:space="0" w:color="auto"/>
            <w:bottom w:val="none" w:sz="0" w:space="0" w:color="auto"/>
            <w:right w:val="none" w:sz="0" w:space="0" w:color="auto"/>
          </w:divBdr>
        </w:div>
      </w:divsChild>
    </w:div>
    <w:div w:id="1901136936">
      <w:bodyDiv w:val="1"/>
      <w:marLeft w:val="0"/>
      <w:marRight w:val="0"/>
      <w:marTop w:val="0"/>
      <w:marBottom w:val="0"/>
      <w:divBdr>
        <w:top w:val="none" w:sz="0" w:space="0" w:color="auto"/>
        <w:left w:val="none" w:sz="0" w:space="0" w:color="auto"/>
        <w:bottom w:val="none" w:sz="0" w:space="0" w:color="auto"/>
        <w:right w:val="none" w:sz="0" w:space="0" w:color="auto"/>
      </w:divBdr>
      <w:divsChild>
        <w:div w:id="226108541">
          <w:marLeft w:val="0"/>
          <w:marRight w:val="0"/>
          <w:marTop w:val="0"/>
          <w:marBottom w:val="0"/>
          <w:divBdr>
            <w:top w:val="none" w:sz="0" w:space="0" w:color="auto"/>
            <w:left w:val="none" w:sz="0" w:space="0" w:color="auto"/>
            <w:bottom w:val="none" w:sz="0" w:space="0" w:color="auto"/>
            <w:right w:val="none" w:sz="0" w:space="0" w:color="auto"/>
          </w:divBdr>
        </w:div>
      </w:divsChild>
    </w:div>
    <w:div w:id="1901288232">
      <w:bodyDiv w:val="1"/>
      <w:marLeft w:val="0"/>
      <w:marRight w:val="0"/>
      <w:marTop w:val="0"/>
      <w:marBottom w:val="0"/>
      <w:divBdr>
        <w:top w:val="none" w:sz="0" w:space="0" w:color="auto"/>
        <w:left w:val="none" w:sz="0" w:space="0" w:color="auto"/>
        <w:bottom w:val="none" w:sz="0" w:space="0" w:color="auto"/>
        <w:right w:val="none" w:sz="0" w:space="0" w:color="auto"/>
      </w:divBdr>
      <w:divsChild>
        <w:div w:id="1971090096">
          <w:marLeft w:val="0"/>
          <w:marRight w:val="0"/>
          <w:marTop w:val="0"/>
          <w:marBottom w:val="0"/>
          <w:divBdr>
            <w:top w:val="none" w:sz="0" w:space="0" w:color="auto"/>
            <w:left w:val="none" w:sz="0" w:space="0" w:color="auto"/>
            <w:bottom w:val="none" w:sz="0" w:space="0" w:color="auto"/>
            <w:right w:val="none" w:sz="0" w:space="0" w:color="auto"/>
          </w:divBdr>
        </w:div>
      </w:divsChild>
    </w:div>
    <w:div w:id="1902448282">
      <w:bodyDiv w:val="1"/>
      <w:marLeft w:val="0"/>
      <w:marRight w:val="0"/>
      <w:marTop w:val="0"/>
      <w:marBottom w:val="0"/>
      <w:divBdr>
        <w:top w:val="none" w:sz="0" w:space="0" w:color="auto"/>
        <w:left w:val="none" w:sz="0" w:space="0" w:color="auto"/>
        <w:bottom w:val="none" w:sz="0" w:space="0" w:color="auto"/>
        <w:right w:val="none" w:sz="0" w:space="0" w:color="auto"/>
      </w:divBdr>
      <w:divsChild>
        <w:div w:id="1379746607">
          <w:marLeft w:val="0"/>
          <w:marRight w:val="0"/>
          <w:marTop w:val="0"/>
          <w:marBottom w:val="0"/>
          <w:divBdr>
            <w:top w:val="none" w:sz="0" w:space="0" w:color="auto"/>
            <w:left w:val="none" w:sz="0" w:space="0" w:color="auto"/>
            <w:bottom w:val="none" w:sz="0" w:space="0" w:color="auto"/>
            <w:right w:val="none" w:sz="0" w:space="0" w:color="auto"/>
          </w:divBdr>
        </w:div>
      </w:divsChild>
    </w:div>
    <w:div w:id="1911229018">
      <w:bodyDiv w:val="1"/>
      <w:marLeft w:val="0"/>
      <w:marRight w:val="0"/>
      <w:marTop w:val="0"/>
      <w:marBottom w:val="0"/>
      <w:divBdr>
        <w:top w:val="none" w:sz="0" w:space="0" w:color="auto"/>
        <w:left w:val="none" w:sz="0" w:space="0" w:color="auto"/>
        <w:bottom w:val="none" w:sz="0" w:space="0" w:color="auto"/>
        <w:right w:val="none" w:sz="0" w:space="0" w:color="auto"/>
      </w:divBdr>
      <w:divsChild>
        <w:div w:id="1954944415">
          <w:marLeft w:val="0"/>
          <w:marRight w:val="0"/>
          <w:marTop w:val="0"/>
          <w:marBottom w:val="0"/>
          <w:divBdr>
            <w:top w:val="none" w:sz="0" w:space="0" w:color="auto"/>
            <w:left w:val="none" w:sz="0" w:space="0" w:color="auto"/>
            <w:bottom w:val="none" w:sz="0" w:space="0" w:color="auto"/>
            <w:right w:val="none" w:sz="0" w:space="0" w:color="auto"/>
          </w:divBdr>
        </w:div>
      </w:divsChild>
    </w:div>
    <w:div w:id="1924025822">
      <w:bodyDiv w:val="1"/>
      <w:marLeft w:val="0"/>
      <w:marRight w:val="0"/>
      <w:marTop w:val="0"/>
      <w:marBottom w:val="0"/>
      <w:divBdr>
        <w:top w:val="none" w:sz="0" w:space="0" w:color="auto"/>
        <w:left w:val="none" w:sz="0" w:space="0" w:color="auto"/>
        <w:bottom w:val="none" w:sz="0" w:space="0" w:color="auto"/>
        <w:right w:val="none" w:sz="0" w:space="0" w:color="auto"/>
      </w:divBdr>
      <w:divsChild>
        <w:div w:id="798037940">
          <w:marLeft w:val="0"/>
          <w:marRight w:val="0"/>
          <w:marTop w:val="0"/>
          <w:marBottom w:val="0"/>
          <w:divBdr>
            <w:top w:val="none" w:sz="0" w:space="0" w:color="auto"/>
            <w:left w:val="none" w:sz="0" w:space="0" w:color="auto"/>
            <w:bottom w:val="none" w:sz="0" w:space="0" w:color="auto"/>
            <w:right w:val="none" w:sz="0" w:space="0" w:color="auto"/>
          </w:divBdr>
        </w:div>
      </w:divsChild>
    </w:div>
    <w:div w:id="1927112158">
      <w:bodyDiv w:val="1"/>
      <w:marLeft w:val="0"/>
      <w:marRight w:val="0"/>
      <w:marTop w:val="0"/>
      <w:marBottom w:val="0"/>
      <w:divBdr>
        <w:top w:val="none" w:sz="0" w:space="0" w:color="auto"/>
        <w:left w:val="none" w:sz="0" w:space="0" w:color="auto"/>
        <w:bottom w:val="none" w:sz="0" w:space="0" w:color="auto"/>
        <w:right w:val="none" w:sz="0" w:space="0" w:color="auto"/>
      </w:divBdr>
      <w:divsChild>
        <w:div w:id="2058625433">
          <w:marLeft w:val="0"/>
          <w:marRight w:val="0"/>
          <w:marTop w:val="0"/>
          <w:marBottom w:val="0"/>
          <w:divBdr>
            <w:top w:val="none" w:sz="0" w:space="0" w:color="auto"/>
            <w:left w:val="none" w:sz="0" w:space="0" w:color="auto"/>
            <w:bottom w:val="none" w:sz="0" w:space="0" w:color="auto"/>
            <w:right w:val="none" w:sz="0" w:space="0" w:color="auto"/>
          </w:divBdr>
        </w:div>
      </w:divsChild>
    </w:div>
    <w:div w:id="1928155072">
      <w:bodyDiv w:val="1"/>
      <w:marLeft w:val="0"/>
      <w:marRight w:val="0"/>
      <w:marTop w:val="0"/>
      <w:marBottom w:val="0"/>
      <w:divBdr>
        <w:top w:val="none" w:sz="0" w:space="0" w:color="auto"/>
        <w:left w:val="none" w:sz="0" w:space="0" w:color="auto"/>
        <w:bottom w:val="none" w:sz="0" w:space="0" w:color="auto"/>
        <w:right w:val="none" w:sz="0" w:space="0" w:color="auto"/>
      </w:divBdr>
      <w:divsChild>
        <w:div w:id="425469377">
          <w:marLeft w:val="0"/>
          <w:marRight w:val="0"/>
          <w:marTop w:val="0"/>
          <w:marBottom w:val="0"/>
          <w:divBdr>
            <w:top w:val="none" w:sz="0" w:space="0" w:color="auto"/>
            <w:left w:val="none" w:sz="0" w:space="0" w:color="auto"/>
            <w:bottom w:val="none" w:sz="0" w:space="0" w:color="auto"/>
            <w:right w:val="none" w:sz="0" w:space="0" w:color="auto"/>
          </w:divBdr>
        </w:div>
      </w:divsChild>
    </w:div>
    <w:div w:id="1932617435">
      <w:bodyDiv w:val="1"/>
      <w:marLeft w:val="0"/>
      <w:marRight w:val="0"/>
      <w:marTop w:val="0"/>
      <w:marBottom w:val="0"/>
      <w:divBdr>
        <w:top w:val="none" w:sz="0" w:space="0" w:color="auto"/>
        <w:left w:val="none" w:sz="0" w:space="0" w:color="auto"/>
        <w:bottom w:val="none" w:sz="0" w:space="0" w:color="auto"/>
        <w:right w:val="none" w:sz="0" w:space="0" w:color="auto"/>
      </w:divBdr>
    </w:div>
    <w:div w:id="1952204473">
      <w:bodyDiv w:val="1"/>
      <w:marLeft w:val="0"/>
      <w:marRight w:val="0"/>
      <w:marTop w:val="0"/>
      <w:marBottom w:val="0"/>
      <w:divBdr>
        <w:top w:val="none" w:sz="0" w:space="0" w:color="auto"/>
        <w:left w:val="none" w:sz="0" w:space="0" w:color="auto"/>
        <w:bottom w:val="none" w:sz="0" w:space="0" w:color="auto"/>
        <w:right w:val="none" w:sz="0" w:space="0" w:color="auto"/>
      </w:divBdr>
      <w:divsChild>
        <w:div w:id="252931426">
          <w:marLeft w:val="0"/>
          <w:marRight w:val="0"/>
          <w:marTop w:val="0"/>
          <w:marBottom w:val="0"/>
          <w:divBdr>
            <w:top w:val="none" w:sz="0" w:space="0" w:color="auto"/>
            <w:left w:val="none" w:sz="0" w:space="0" w:color="auto"/>
            <w:bottom w:val="none" w:sz="0" w:space="0" w:color="auto"/>
            <w:right w:val="none" w:sz="0" w:space="0" w:color="auto"/>
          </w:divBdr>
        </w:div>
      </w:divsChild>
    </w:div>
    <w:div w:id="1958173336">
      <w:bodyDiv w:val="1"/>
      <w:marLeft w:val="0"/>
      <w:marRight w:val="0"/>
      <w:marTop w:val="0"/>
      <w:marBottom w:val="0"/>
      <w:divBdr>
        <w:top w:val="none" w:sz="0" w:space="0" w:color="auto"/>
        <w:left w:val="none" w:sz="0" w:space="0" w:color="auto"/>
        <w:bottom w:val="none" w:sz="0" w:space="0" w:color="auto"/>
        <w:right w:val="none" w:sz="0" w:space="0" w:color="auto"/>
      </w:divBdr>
    </w:div>
    <w:div w:id="1970161733">
      <w:bodyDiv w:val="1"/>
      <w:marLeft w:val="0"/>
      <w:marRight w:val="0"/>
      <w:marTop w:val="0"/>
      <w:marBottom w:val="0"/>
      <w:divBdr>
        <w:top w:val="none" w:sz="0" w:space="0" w:color="auto"/>
        <w:left w:val="none" w:sz="0" w:space="0" w:color="auto"/>
        <w:bottom w:val="none" w:sz="0" w:space="0" w:color="auto"/>
        <w:right w:val="none" w:sz="0" w:space="0" w:color="auto"/>
      </w:divBdr>
      <w:divsChild>
        <w:div w:id="169296540">
          <w:marLeft w:val="0"/>
          <w:marRight w:val="0"/>
          <w:marTop w:val="0"/>
          <w:marBottom w:val="0"/>
          <w:divBdr>
            <w:top w:val="none" w:sz="0" w:space="0" w:color="auto"/>
            <w:left w:val="none" w:sz="0" w:space="0" w:color="auto"/>
            <w:bottom w:val="none" w:sz="0" w:space="0" w:color="auto"/>
            <w:right w:val="none" w:sz="0" w:space="0" w:color="auto"/>
          </w:divBdr>
        </w:div>
      </w:divsChild>
    </w:div>
    <w:div w:id="1973972804">
      <w:bodyDiv w:val="1"/>
      <w:marLeft w:val="0"/>
      <w:marRight w:val="0"/>
      <w:marTop w:val="0"/>
      <w:marBottom w:val="0"/>
      <w:divBdr>
        <w:top w:val="none" w:sz="0" w:space="0" w:color="auto"/>
        <w:left w:val="none" w:sz="0" w:space="0" w:color="auto"/>
        <w:bottom w:val="none" w:sz="0" w:space="0" w:color="auto"/>
        <w:right w:val="none" w:sz="0" w:space="0" w:color="auto"/>
      </w:divBdr>
      <w:divsChild>
        <w:div w:id="75368832">
          <w:marLeft w:val="0"/>
          <w:marRight w:val="0"/>
          <w:marTop w:val="0"/>
          <w:marBottom w:val="0"/>
          <w:divBdr>
            <w:top w:val="none" w:sz="0" w:space="0" w:color="auto"/>
            <w:left w:val="none" w:sz="0" w:space="0" w:color="auto"/>
            <w:bottom w:val="none" w:sz="0" w:space="0" w:color="auto"/>
            <w:right w:val="none" w:sz="0" w:space="0" w:color="auto"/>
          </w:divBdr>
        </w:div>
      </w:divsChild>
    </w:div>
    <w:div w:id="1975671413">
      <w:bodyDiv w:val="1"/>
      <w:marLeft w:val="0"/>
      <w:marRight w:val="0"/>
      <w:marTop w:val="0"/>
      <w:marBottom w:val="0"/>
      <w:divBdr>
        <w:top w:val="none" w:sz="0" w:space="0" w:color="auto"/>
        <w:left w:val="none" w:sz="0" w:space="0" w:color="auto"/>
        <w:bottom w:val="none" w:sz="0" w:space="0" w:color="auto"/>
        <w:right w:val="none" w:sz="0" w:space="0" w:color="auto"/>
      </w:divBdr>
      <w:divsChild>
        <w:div w:id="1847748958">
          <w:marLeft w:val="0"/>
          <w:marRight w:val="0"/>
          <w:marTop w:val="0"/>
          <w:marBottom w:val="0"/>
          <w:divBdr>
            <w:top w:val="none" w:sz="0" w:space="0" w:color="auto"/>
            <w:left w:val="none" w:sz="0" w:space="0" w:color="auto"/>
            <w:bottom w:val="none" w:sz="0" w:space="0" w:color="auto"/>
            <w:right w:val="none" w:sz="0" w:space="0" w:color="auto"/>
          </w:divBdr>
        </w:div>
      </w:divsChild>
    </w:div>
    <w:div w:id="1977446457">
      <w:bodyDiv w:val="1"/>
      <w:marLeft w:val="0"/>
      <w:marRight w:val="0"/>
      <w:marTop w:val="0"/>
      <w:marBottom w:val="0"/>
      <w:divBdr>
        <w:top w:val="none" w:sz="0" w:space="0" w:color="auto"/>
        <w:left w:val="none" w:sz="0" w:space="0" w:color="auto"/>
        <w:bottom w:val="none" w:sz="0" w:space="0" w:color="auto"/>
        <w:right w:val="none" w:sz="0" w:space="0" w:color="auto"/>
      </w:divBdr>
      <w:divsChild>
        <w:div w:id="2065519415">
          <w:marLeft w:val="0"/>
          <w:marRight w:val="0"/>
          <w:marTop w:val="0"/>
          <w:marBottom w:val="0"/>
          <w:divBdr>
            <w:top w:val="none" w:sz="0" w:space="0" w:color="auto"/>
            <w:left w:val="none" w:sz="0" w:space="0" w:color="auto"/>
            <w:bottom w:val="none" w:sz="0" w:space="0" w:color="auto"/>
            <w:right w:val="none" w:sz="0" w:space="0" w:color="auto"/>
          </w:divBdr>
        </w:div>
      </w:divsChild>
    </w:div>
    <w:div w:id="1981693429">
      <w:bodyDiv w:val="1"/>
      <w:marLeft w:val="0"/>
      <w:marRight w:val="0"/>
      <w:marTop w:val="0"/>
      <w:marBottom w:val="0"/>
      <w:divBdr>
        <w:top w:val="none" w:sz="0" w:space="0" w:color="auto"/>
        <w:left w:val="none" w:sz="0" w:space="0" w:color="auto"/>
        <w:bottom w:val="none" w:sz="0" w:space="0" w:color="auto"/>
        <w:right w:val="none" w:sz="0" w:space="0" w:color="auto"/>
      </w:divBdr>
      <w:divsChild>
        <w:div w:id="1443651794">
          <w:marLeft w:val="0"/>
          <w:marRight w:val="0"/>
          <w:marTop w:val="0"/>
          <w:marBottom w:val="0"/>
          <w:divBdr>
            <w:top w:val="none" w:sz="0" w:space="0" w:color="auto"/>
            <w:left w:val="none" w:sz="0" w:space="0" w:color="auto"/>
            <w:bottom w:val="none" w:sz="0" w:space="0" w:color="auto"/>
            <w:right w:val="none" w:sz="0" w:space="0" w:color="auto"/>
          </w:divBdr>
        </w:div>
      </w:divsChild>
    </w:div>
    <w:div w:id="1983805529">
      <w:bodyDiv w:val="1"/>
      <w:marLeft w:val="0"/>
      <w:marRight w:val="0"/>
      <w:marTop w:val="0"/>
      <w:marBottom w:val="0"/>
      <w:divBdr>
        <w:top w:val="none" w:sz="0" w:space="0" w:color="auto"/>
        <w:left w:val="none" w:sz="0" w:space="0" w:color="auto"/>
        <w:bottom w:val="none" w:sz="0" w:space="0" w:color="auto"/>
        <w:right w:val="none" w:sz="0" w:space="0" w:color="auto"/>
      </w:divBdr>
      <w:divsChild>
        <w:div w:id="818224957">
          <w:marLeft w:val="0"/>
          <w:marRight w:val="0"/>
          <w:marTop w:val="0"/>
          <w:marBottom w:val="0"/>
          <w:divBdr>
            <w:top w:val="none" w:sz="0" w:space="0" w:color="auto"/>
            <w:left w:val="none" w:sz="0" w:space="0" w:color="auto"/>
            <w:bottom w:val="none" w:sz="0" w:space="0" w:color="auto"/>
            <w:right w:val="none" w:sz="0" w:space="0" w:color="auto"/>
          </w:divBdr>
        </w:div>
      </w:divsChild>
    </w:div>
    <w:div w:id="1987777148">
      <w:bodyDiv w:val="1"/>
      <w:marLeft w:val="0"/>
      <w:marRight w:val="0"/>
      <w:marTop w:val="0"/>
      <w:marBottom w:val="0"/>
      <w:divBdr>
        <w:top w:val="none" w:sz="0" w:space="0" w:color="auto"/>
        <w:left w:val="none" w:sz="0" w:space="0" w:color="auto"/>
        <w:bottom w:val="none" w:sz="0" w:space="0" w:color="auto"/>
        <w:right w:val="none" w:sz="0" w:space="0" w:color="auto"/>
      </w:divBdr>
      <w:divsChild>
        <w:div w:id="1769615199">
          <w:marLeft w:val="0"/>
          <w:marRight w:val="0"/>
          <w:marTop w:val="0"/>
          <w:marBottom w:val="0"/>
          <w:divBdr>
            <w:top w:val="none" w:sz="0" w:space="0" w:color="auto"/>
            <w:left w:val="none" w:sz="0" w:space="0" w:color="auto"/>
            <w:bottom w:val="none" w:sz="0" w:space="0" w:color="auto"/>
            <w:right w:val="none" w:sz="0" w:space="0" w:color="auto"/>
          </w:divBdr>
        </w:div>
      </w:divsChild>
    </w:div>
    <w:div w:id="1995647752">
      <w:bodyDiv w:val="1"/>
      <w:marLeft w:val="0"/>
      <w:marRight w:val="0"/>
      <w:marTop w:val="0"/>
      <w:marBottom w:val="0"/>
      <w:divBdr>
        <w:top w:val="none" w:sz="0" w:space="0" w:color="auto"/>
        <w:left w:val="none" w:sz="0" w:space="0" w:color="auto"/>
        <w:bottom w:val="none" w:sz="0" w:space="0" w:color="auto"/>
        <w:right w:val="none" w:sz="0" w:space="0" w:color="auto"/>
      </w:divBdr>
      <w:divsChild>
        <w:div w:id="415127568">
          <w:marLeft w:val="0"/>
          <w:marRight w:val="0"/>
          <w:marTop w:val="0"/>
          <w:marBottom w:val="0"/>
          <w:divBdr>
            <w:top w:val="none" w:sz="0" w:space="0" w:color="auto"/>
            <w:left w:val="none" w:sz="0" w:space="0" w:color="auto"/>
            <w:bottom w:val="none" w:sz="0" w:space="0" w:color="auto"/>
            <w:right w:val="none" w:sz="0" w:space="0" w:color="auto"/>
          </w:divBdr>
        </w:div>
      </w:divsChild>
    </w:div>
    <w:div w:id="1995792403">
      <w:bodyDiv w:val="1"/>
      <w:marLeft w:val="0"/>
      <w:marRight w:val="0"/>
      <w:marTop w:val="0"/>
      <w:marBottom w:val="0"/>
      <w:divBdr>
        <w:top w:val="none" w:sz="0" w:space="0" w:color="auto"/>
        <w:left w:val="none" w:sz="0" w:space="0" w:color="auto"/>
        <w:bottom w:val="none" w:sz="0" w:space="0" w:color="auto"/>
        <w:right w:val="none" w:sz="0" w:space="0" w:color="auto"/>
      </w:divBdr>
    </w:div>
    <w:div w:id="1999916896">
      <w:bodyDiv w:val="1"/>
      <w:marLeft w:val="0"/>
      <w:marRight w:val="0"/>
      <w:marTop w:val="0"/>
      <w:marBottom w:val="0"/>
      <w:divBdr>
        <w:top w:val="none" w:sz="0" w:space="0" w:color="auto"/>
        <w:left w:val="none" w:sz="0" w:space="0" w:color="auto"/>
        <w:bottom w:val="none" w:sz="0" w:space="0" w:color="auto"/>
        <w:right w:val="none" w:sz="0" w:space="0" w:color="auto"/>
      </w:divBdr>
      <w:divsChild>
        <w:div w:id="1067919429">
          <w:marLeft w:val="0"/>
          <w:marRight w:val="0"/>
          <w:marTop w:val="0"/>
          <w:marBottom w:val="0"/>
          <w:divBdr>
            <w:top w:val="none" w:sz="0" w:space="0" w:color="auto"/>
            <w:left w:val="none" w:sz="0" w:space="0" w:color="auto"/>
            <w:bottom w:val="none" w:sz="0" w:space="0" w:color="auto"/>
            <w:right w:val="none" w:sz="0" w:space="0" w:color="auto"/>
          </w:divBdr>
        </w:div>
      </w:divsChild>
    </w:div>
    <w:div w:id="2008509286">
      <w:bodyDiv w:val="1"/>
      <w:marLeft w:val="0"/>
      <w:marRight w:val="0"/>
      <w:marTop w:val="0"/>
      <w:marBottom w:val="0"/>
      <w:divBdr>
        <w:top w:val="none" w:sz="0" w:space="0" w:color="auto"/>
        <w:left w:val="none" w:sz="0" w:space="0" w:color="auto"/>
        <w:bottom w:val="none" w:sz="0" w:space="0" w:color="auto"/>
        <w:right w:val="none" w:sz="0" w:space="0" w:color="auto"/>
      </w:divBdr>
    </w:div>
    <w:div w:id="2016374224">
      <w:bodyDiv w:val="1"/>
      <w:marLeft w:val="0"/>
      <w:marRight w:val="0"/>
      <w:marTop w:val="0"/>
      <w:marBottom w:val="0"/>
      <w:divBdr>
        <w:top w:val="none" w:sz="0" w:space="0" w:color="auto"/>
        <w:left w:val="none" w:sz="0" w:space="0" w:color="auto"/>
        <w:bottom w:val="none" w:sz="0" w:space="0" w:color="auto"/>
        <w:right w:val="none" w:sz="0" w:space="0" w:color="auto"/>
      </w:divBdr>
    </w:div>
    <w:div w:id="2024940860">
      <w:bodyDiv w:val="1"/>
      <w:marLeft w:val="0"/>
      <w:marRight w:val="0"/>
      <w:marTop w:val="0"/>
      <w:marBottom w:val="0"/>
      <w:divBdr>
        <w:top w:val="none" w:sz="0" w:space="0" w:color="auto"/>
        <w:left w:val="none" w:sz="0" w:space="0" w:color="auto"/>
        <w:bottom w:val="none" w:sz="0" w:space="0" w:color="auto"/>
        <w:right w:val="none" w:sz="0" w:space="0" w:color="auto"/>
      </w:divBdr>
    </w:div>
    <w:div w:id="2026785914">
      <w:bodyDiv w:val="1"/>
      <w:marLeft w:val="0"/>
      <w:marRight w:val="0"/>
      <w:marTop w:val="0"/>
      <w:marBottom w:val="0"/>
      <w:divBdr>
        <w:top w:val="none" w:sz="0" w:space="0" w:color="auto"/>
        <w:left w:val="none" w:sz="0" w:space="0" w:color="auto"/>
        <w:bottom w:val="none" w:sz="0" w:space="0" w:color="auto"/>
        <w:right w:val="none" w:sz="0" w:space="0" w:color="auto"/>
      </w:divBdr>
      <w:divsChild>
        <w:div w:id="1272784948">
          <w:marLeft w:val="0"/>
          <w:marRight w:val="0"/>
          <w:marTop w:val="0"/>
          <w:marBottom w:val="0"/>
          <w:divBdr>
            <w:top w:val="none" w:sz="0" w:space="0" w:color="auto"/>
            <w:left w:val="none" w:sz="0" w:space="0" w:color="auto"/>
            <w:bottom w:val="none" w:sz="0" w:space="0" w:color="auto"/>
            <w:right w:val="none" w:sz="0" w:space="0" w:color="auto"/>
          </w:divBdr>
        </w:div>
      </w:divsChild>
    </w:div>
    <w:div w:id="2026981929">
      <w:bodyDiv w:val="1"/>
      <w:marLeft w:val="0"/>
      <w:marRight w:val="0"/>
      <w:marTop w:val="0"/>
      <w:marBottom w:val="0"/>
      <w:divBdr>
        <w:top w:val="none" w:sz="0" w:space="0" w:color="auto"/>
        <w:left w:val="none" w:sz="0" w:space="0" w:color="auto"/>
        <w:bottom w:val="none" w:sz="0" w:space="0" w:color="auto"/>
        <w:right w:val="none" w:sz="0" w:space="0" w:color="auto"/>
      </w:divBdr>
      <w:divsChild>
        <w:div w:id="407504389">
          <w:marLeft w:val="0"/>
          <w:marRight w:val="0"/>
          <w:marTop w:val="0"/>
          <w:marBottom w:val="0"/>
          <w:divBdr>
            <w:top w:val="none" w:sz="0" w:space="0" w:color="auto"/>
            <w:left w:val="none" w:sz="0" w:space="0" w:color="auto"/>
            <w:bottom w:val="none" w:sz="0" w:space="0" w:color="auto"/>
            <w:right w:val="none" w:sz="0" w:space="0" w:color="auto"/>
          </w:divBdr>
        </w:div>
      </w:divsChild>
    </w:div>
    <w:div w:id="2030567785">
      <w:bodyDiv w:val="1"/>
      <w:marLeft w:val="0"/>
      <w:marRight w:val="0"/>
      <w:marTop w:val="0"/>
      <w:marBottom w:val="0"/>
      <w:divBdr>
        <w:top w:val="none" w:sz="0" w:space="0" w:color="auto"/>
        <w:left w:val="none" w:sz="0" w:space="0" w:color="auto"/>
        <w:bottom w:val="none" w:sz="0" w:space="0" w:color="auto"/>
        <w:right w:val="none" w:sz="0" w:space="0" w:color="auto"/>
      </w:divBdr>
      <w:divsChild>
        <w:div w:id="1030254599">
          <w:marLeft w:val="0"/>
          <w:marRight w:val="0"/>
          <w:marTop w:val="0"/>
          <w:marBottom w:val="0"/>
          <w:divBdr>
            <w:top w:val="none" w:sz="0" w:space="0" w:color="auto"/>
            <w:left w:val="none" w:sz="0" w:space="0" w:color="auto"/>
            <w:bottom w:val="none" w:sz="0" w:space="0" w:color="auto"/>
            <w:right w:val="none" w:sz="0" w:space="0" w:color="auto"/>
          </w:divBdr>
        </w:div>
      </w:divsChild>
    </w:div>
    <w:div w:id="2032875241">
      <w:bodyDiv w:val="1"/>
      <w:marLeft w:val="0"/>
      <w:marRight w:val="0"/>
      <w:marTop w:val="0"/>
      <w:marBottom w:val="0"/>
      <w:divBdr>
        <w:top w:val="none" w:sz="0" w:space="0" w:color="auto"/>
        <w:left w:val="none" w:sz="0" w:space="0" w:color="auto"/>
        <w:bottom w:val="none" w:sz="0" w:space="0" w:color="auto"/>
        <w:right w:val="none" w:sz="0" w:space="0" w:color="auto"/>
      </w:divBdr>
      <w:divsChild>
        <w:div w:id="1078988007">
          <w:marLeft w:val="0"/>
          <w:marRight w:val="0"/>
          <w:marTop w:val="0"/>
          <w:marBottom w:val="0"/>
          <w:divBdr>
            <w:top w:val="none" w:sz="0" w:space="0" w:color="auto"/>
            <w:left w:val="none" w:sz="0" w:space="0" w:color="auto"/>
            <w:bottom w:val="none" w:sz="0" w:space="0" w:color="auto"/>
            <w:right w:val="none" w:sz="0" w:space="0" w:color="auto"/>
          </w:divBdr>
        </w:div>
      </w:divsChild>
    </w:div>
    <w:div w:id="2034914382">
      <w:bodyDiv w:val="1"/>
      <w:marLeft w:val="0"/>
      <w:marRight w:val="0"/>
      <w:marTop w:val="0"/>
      <w:marBottom w:val="0"/>
      <w:divBdr>
        <w:top w:val="none" w:sz="0" w:space="0" w:color="auto"/>
        <w:left w:val="none" w:sz="0" w:space="0" w:color="auto"/>
        <w:bottom w:val="none" w:sz="0" w:space="0" w:color="auto"/>
        <w:right w:val="none" w:sz="0" w:space="0" w:color="auto"/>
      </w:divBdr>
    </w:div>
    <w:div w:id="2040281002">
      <w:bodyDiv w:val="1"/>
      <w:marLeft w:val="0"/>
      <w:marRight w:val="0"/>
      <w:marTop w:val="0"/>
      <w:marBottom w:val="0"/>
      <w:divBdr>
        <w:top w:val="none" w:sz="0" w:space="0" w:color="auto"/>
        <w:left w:val="none" w:sz="0" w:space="0" w:color="auto"/>
        <w:bottom w:val="none" w:sz="0" w:space="0" w:color="auto"/>
        <w:right w:val="none" w:sz="0" w:space="0" w:color="auto"/>
      </w:divBdr>
    </w:div>
    <w:div w:id="2043431366">
      <w:bodyDiv w:val="1"/>
      <w:marLeft w:val="0"/>
      <w:marRight w:val="0"/>
      <w:marTop w:val="0"/>
      <w:marBottom w:val="0"/>
      <w:divBdr>
        <w:top w:val="none" w:sz="0" w:space="0" w:color="auto"/>
        <w:left w:val="none" w:sz="0" w:space="0" w:color="auto"/>
        <w:bottom w:val="none" w:sz="0" w:space="0" w:color="auto"/>
        <w:right w:val="none" w:sz="0" w:space="0" w:color="auto"/>
      </w:divBdr>
      <w:divsChild>
        <w:div w:id="679503499">
          <w:marLeft w:val="0"/>
          <w:marRight w:val="0"/>
          <w:marTop w:val="0"/>
          <w:marBottom w:val="0"/>
          <w:divBdr>
            <w:top w:val="none" w:sz="0" w:space="0" w:color="auto"/>
            <w:left w:val="none" w:sz="0" w:space="0" w:color="auto"/>
            <w:bottom w:val="none" w:sz="0" w:space="0" w:color="auto"/>
            <w:right w:val="none" w:sz="0" w:space="0" w:color="auto"/>
          </w:divBdr>
        </w:div>
      </w:divsChild>
    </w:div>
    <w:div w:id="2047025598">
      <w:bodyDiv w:val="1"/>
      <w:marLeft w:val="0"/>
      <w:marRight w:val="0"/>
      <w:marTop w:val="0"/>
      <w:marBottom w:val="0"/>
      <w:divBdr>
        <w:top w:val="none" w:sz="0" w:space="0" w:color="auto"/>
        <w:left w:val="none" w:sz="0" w:space="0" w:color="auto"/>
        <w:bottom w:val="none" w:sz="0" w:space="0" w:color="auto"/>
        <w:right w:val="none" w:sz="0" w:space="0" w:color="auto"/>
      </w:divBdr>
      <w:divsChild>
        <w:div w:id="1077289489">
          <w:marLeft w:val="0"/>
          <w:marRight w:val="0"/>
          <w:marTop w:val="0"/>
          <w:marBottom w:val="0"/>
          <w:divBdr>
            <w:top w:val="none" w:sz="0" w:space="0" w:color="auto"/>
            <w:left w:val="none" w:sz="0" w:space="0" w:color="auto"/>
            <w:bottom w:val="none" w:sz="0" w:space="0" w:color="auto"/>
            <w:right w:val="none" w:sz="0" w:space="0" w:color="auto"/>
          </w:divBdr>
        </w:div>
      </w:divsChild>
    </w:div>
    <w:div w:id="2047291539">
      <w:bodyDiv w:val="1"/>
      <w:marLeft w:val="0"/>
      <w:marRight w:val="0"/>
      <w:marTop w:val="0"/>
      <w:marBottom w:val="0"/>
      <w:divBdr>
        <w:top w:val="none" w:sz="0" w:space="0" w:color="auto"/>
        <w:left w:val="none" w:sz="0" w:space="0" w:color="auto"/>
        <w:bottom w:val="none" w:sz="0" w:space="0" w:color="auto"/>
        <w:right w:val="none" w:sz="0" w:space="0" w:color="auto"/>
      </w:divBdr>
      <w:divsChild>
        <w:div w:id="1118455019">
          <w:marLeft w:val="0"/>
          <w:marRight w:val="0"/>
          <w:marTop w:val="0"/>
          <w:marBottom w:val="0"/>
          <w:divBdr>
            <w:top w:val="none" w:sz="0" w:space="0" w:color="auto"/>
            <w:left w:val="none" w:sz="0" w:space="0" w:color="auto"/>
            <w:bottom w:val="none" w:sz="0" w:space="0" w:color="auto"/>
            <w:right w:val="none" w:sz="0" w:space="0" w:color="auto"/>
          </w:divBdr>
        </w:div>
      </w:divsChild>
    </w:div>
    <w:div w:id="2050453768">
      <w:bodyDiv w:val="1"/>
      <w:marLeft w:val="0"/>
      <w:marRight w:val="0"/>
      <w:marTop w:val="0"/>
      <w:marBottom w:val="0"/>
      <w:divBdr>
        <w:top w:val="none" w:sz="0" w:space="0" w:color="auto"/>
        <w:left w:val="none" w:sz="0" w:space="0" w:color="auto"/>
        <w:bottom w:val="none" w:sz="0" w:space="0" w:color="auto"/>
        <w:right w:val="none" w:sz="0" w:space="0" w:color="auto"/>
      </w:divBdr>
      <w:divsChild>
        <w:div w:id="562718126">
          <w:marLeft w:val="0"/>
          <w:marRight w:val="0"/>
          <w:marTop w:val="0"/>
          <w:marBottom w:val="0"/>
          <w:divBdr>
            <w:top w:val="none" w:sz="0" w:space="0" w:color="auto"/>
            <w:left w:val="none" w:sz="0" w:space="0" w:color="auto"/>
            <w:bottom w:val="none" w:sz="0" w:space="0" w:color="auto"/>
            <w:right w:val="none" w:sz="0" w:space="0" w:color="auto"/>
          </w:divBdr>
        </w:div>
      </w:divsChild>
    </w:div>
    <w:div w:id="2055302124">
      <w:bodyDiv w:val="1"/>
      <w:marLeft w:val="0"/>
      <w:marRight w:val="0"/>
      <w:marTop w:val="0"/>
      <w:marBottom w:val="0"/>
      <w:divBdr>
        <w:top w:val="none" w:sz="0" w:space="0" w:color="auto"/>
        <w:left w:val="none" w:sz="0" w:space="0" w:color="auto"/>
        <w:bottom w:val="none" w:sz="0" w:space="0" w:color="auto"/>
        <w:right w:val="none" w:sz="0" w:space="0" w:color="auto"/>
      </w:divBdr>
      <w:divsChild>
        <w:div w:id="760494954">
          <w:marLeft w:val="0"/>
          <w:marRight w:val="0"/>
          <w:marTop w:val="0"/>
          <w:marBottom w:val="0"/>
          <w:divBdr>
            <w:top w:val="none" w:sz="0" w:space="0" w:color="auto"/>
            <w:left w:val="none" w:sz="0" w:space="0" w:color="auto"/>
            <w:bottom w:val="none" w:sz="0" w:space="0" w:color="auto"/>
            <w:right w:val="none" w:sz="0" w:space="0" w:color="auto"/>
          </w:divBdr>
        </w:div>
      </w:divsChild>
    </w:div>
    <w:div w:id="2061781265">
      <w:bodyDiv w:val="1"/>
      <w:marLeft w:val="0"/>
      <w:marRight w:val="0"/>
      <w:marTop w:val="0"/>
      <w:marBottom w:val="0"/>
      <w:divBdr>
        <w:top w:val="none" w:sz="0" w:space="0" w:color="auto"/>
        <w:left w:val="none" w:sz="0" w:space="0" w:color="auto"/>
        <w:bottom w:val="none" w:sz="0" w:space="0" w:color="auto"/>
        <w:right w:val="none" w:sz="0" w:space="0" w:color="auto"/>
      </w:divBdr>
      <w:divsChild>
        <w:div w:id="461726496">
          <w:marLeft w:val="0"/>
          <w:marRight w:val="0"/>
          <w:marTop w:val="0"/>
          <w:marBottom w:val="0"/>
          <w:divBdr>
            <w:top w:val="none" w:sz="0" w:space="0" w:color="auto"/>
            <w:left w:val="none" w:sz="0" w:space="0" w:color="auto"/>
            <w:bottom w:val="none" w:sz="0" w:space="0" w:color="auto"/>
            <w:right w:val="none" w:sz="0" w:space="0" w:color="auto"/>
          </w:divBdr>
        </w:div>
      </w:divsChild>
    </w:div>
    <w:div w:id="2062359068">
      <w:bodyDiv w:val="1"/>
      <w:marLeft w:val="0"/>
      <w:marRight w:val="0"/>
      <w:marTop w:val="0"/>
      <w:marBottom w:val="0"/>
      <w:divBdr>
        <w:top w:val="none" w:sz="0" w:space="0" w:color="auto"/>
        <w:left w:val="none" w:sz="0" w:space="0" w:color="auto"/>
        <w:bottom w:val="none" w:sz="0" w:space="0" w:color="auto"/>
        <w:right w:val="none" w:sz="0" w:space="0" w:color="auto"/>
      </w:divBdr>
      <w:divsChild>
        <w:div w:id="638537753">
          <w:marLeft w:val="0"/>
          <w:marRight w:val="0"/>
          <w:marTop w:val="0"/>
          <w:marBottom w:val="0"/>
          <w:divBdr>
            <w:top w:val="none" w:sz="0" w:space="0" w:color="auto"/>
            <w:left w:val="none" w:sz="0" w:space="0" w:color="auto"/>
            <w:bottom w:val="none" w:sz="0" w:space="0" w:color="auto"/>
            <w:right w:val="none" w:sz="0" w:space="0" w:color="auto"/>
          </w:divBdr>
        </w:div>
      </w:divsChild>
    </w:div>
    <w:div w:id="2062361518">
      <w:bodyDiv w:val="1"/>
      <w:marLeft w:val="0"/>
      <w:marRight w:val="0"/>
      <w:marTop w:val="0"/>
      <w:marBottom w:val="0"/>
      <w:divBdr>
        <w:top w:val="none" w:sz="0" w:space="0" w:color="auto"/>
        <w:left w:val="none" w:sz="0" w:space="0" w:color="auto"/>
        <w:bottom w:val="none" w:sz="0" w:space="0" w:color="auto"/>
        <w:right w:val="none" w:sz="0" w:space="0" w:color="auto"/>
      </w:divBdr>
      <w:divsChild>
        <w:div w:id="1644039492">
          <w:marLeft w:val="0"/>
          <w:marRight w:val="0"/>
          <w:marTop w:val="0"/>
          <w:marBottom w:val="0"/>
          <w:divBdr>
            <w:top w:val="none" w:sz="0" w:space="0" w:color="auto"/>
            <w:left w:val="none" w:sz="0" w:space="0" w:color="auto"/>
            <w:bottom w:val="none" w:sz="0" w:space="0" w:color="auto"/>
            <w:right w:val="none" w:sz="0" w:space="0" w:color="auto"/>
          </w:divBdr>
        </w:div>
      </w:divsChild>
    </w:div>
    <w:div w:id="2063626648">
      <w:bodyDiv w:val="1"/>
      <w:marLeft w:val="0"/>
      <w:marRight w:val="0"/>
      <w:marTop w:val="0"/>
      <w:marBottom w:val="0"/>
      <w:divBdr>
        <w:top w:val="none" w:sz="0" w:space="0" w:color="auto"/>
        <w:left w:val="none" w:sz="0" w:space="0" w:color="auto"/>
        <w:bottom w:val="none" w:sz="0" w:space="0" w:color="auto"/>
        <w:right w:val="none" w:sz="0" w:space="0" w:color="auto"/>
      </w:divBdr>
      <w:divsChild>
        <w:div w:id="1069815069">
          <w:marLeft w:val="0"/>
          <w:marRight w:val="0"/>
          <w:marTop w:val="0"/>
          <w:marBottom w:val="0"/>
          <w:divBdr>
            <w:top w:val="none" w:sz="0" w:space="0" w:color="auto"/>
            <w:left w:val="none" w:sz="0" w:space="0" w:color="auto"/>
            <w:bottom w:val="none" w:sz="0" w:space="0" w:color="auto"/>
            <w:right w:val="none" w:sz="0" w:space="0" w:color="auto"/>
          </w:divBdr>
        </w:div>
      </w:divsChild>
    </w:div>
    <w:div w:id="2064405271">
      <w:bodyDiv w:val="1"/>
      <w:marLeft w:val="0"/>
      <w:marRight w:val="0"/>
      <w:marTop w:val="0"/>
      <w:marBottom w:val="0"/>
      <w:divBdr>
        <w:top w:val="none" w:sz="0" w:space="0" w:color="auto"/>
        <w:left w:val="none" w:sz="0" w:space="0" w:color="auto"/>
        <w:bottom w:val="none" w:sz="0" w:space="0" w:color="auto"/>
        <w:right w:val="none" w:sz="0" w:space="0" w:color="auto"/>
      </w:divBdr>
      <w:divsChild>
        <w:div w:id="1649092644">
          <w:marLeft w:val="0"/>
          <w:marRight w:val="0"/>
          <w:marTop w:val="0"/>
          <w:marBottom w:val="0"/>
          <w:divBdr>
            <w:top w:val="none" w:sz="0" w:space="0" w:color="auto"/>
            <w:left w:val="none" w:sz="0" w:space="0" w:color="auto"/>
            <w:bottom w:val="none" w:sz="0" w:space="0" w:color="auto"/>
            <w:right w:val="none" w:sz="0" w:space="0" w:color="auto"/>
          </w:divBdr>
        </w:div>
      </w:divsChild>
    </w:div>
    <w:div w:id="2064913219">
      <w:bodyDiv w:val="1"/>
      <w:marLeft w:val="0"/>
      <w:marRight w:val="0"/>
      <w:marTop w:val="0"/>
      <w:marBottom w:val="0"/>
      <w:divBdr>
        <w:top w:val="none" w:sz="0" w:space="0" w:color="auto"/>
        <w:left w:val="none" w:sz="0" w:space="0" w:color="auto"/>
        <w:bottom w:val="none" w:sz="0" w:space="0" w:color="auto"/>
        <w:right w:val="none" w:sz="0" w:space="0" w:color="auto"/>
      </w:divBdr>
    </w:div>
    <w:div w:id="2067145158">
      <w:bodyDiv w:val="1"/>
      <w:marLeft w:val="0"/>
      <w:marRight w:val="0"/>
      <w:marTop w:val="0"/>
      <w:marBottom w:val="0"/>
      <w:divBdr>
        <w:top w:val="none" w:sz="0" w:space="0" w:color="auto"/>
        <w:left w:val="none" w:sz="0" w:space="0" w:color="auto"/>
        <w:bottom w:val="none" w:sz="0" w:space="0" w:color="auto"/>
        <w:right w:val="none" w:sz="0" w:space="0" w:color="auto"/>
      </w:divBdr>
      <w:divsChild>
        <w:div w:id="1578972844">
          <w:marLeft w:val="0"/>
          <w:marRight w:val="0"/>
          <w:marTop w:val="0"/>
          <w:marBottom w:val="0"/>
          <w:divBdr>
            <w:top w:val="none" w:sz="0" w:space="0" w:color="auto"/>
            <w:left w:val="none" w:sz="0" w:space="0" w:color="auto"/>
            <w:bottom w:val="none" w:sz="0" w:space="0" w:color="auto"/>
            <w:right w:val="none" w:sz="0" w:space="0" w:color="auto"/>
          </w:divBdr>
        </w:div>
      </w:divsChild>
    </w:div>
    <w:div w:id="2075397332">
      <w:bodyDiv w:val="1"/>
      <w:marLeft w:val="0"/>
      <w:marRight w:val="0"/>
      <w:marTop w:val="0"/>
      <w:marBottom w:val="0"/>
      <w:divBdr>
        <w:top w:val="none" w:sz="0" w:space="0" w:color="auto"/>
        <w:left w:val="none" w:sz="0" w:space="0" w:color="auto"/>
        <w:bottom w:val="none" w:sz="0" w:space="0" w:color="auto"/>
        <w:right w:val="none" w:sz="0" w:space="0" w:color="auto"/>
      </w:divBdr>
    </w:div>
    <w:div w:id="2075733751">
      <w:bodyDiv w:val="1"/>
      <w:marLeft w:val="0"/>
      <w:marRight w:val="0"/>
      <w:marTop w:val="0"/>
      <w:marBottom w:val="0"/>
      <w:divBdr>
        <w:top w:val="none" w:sz="0" w:space="0" w:color="auto"/>
        <w:left w:val="none" w:sz="0" w:space="0" w:color="auto"/>
        <w:bottom w:val="none" w:sz="0" w:space="0" w:color="auto"/>
        <w:right w:val="none" w:sz="0" w:space="0" w:color="auto"/>
      </w:divBdr>
      <w:divsChild>
        <w:div w:id="1511525357">
          <w:marLeft w:val="0"/>
          <w:marRight w:val="0"/>
          <w:marTop w:val="0"/>
          <w:marBottom w:val="0"/>
          <w:divBdr>
            <w:top w:val="none" w:sz="0" w:space="0" w:color="auto"/>
            <w:left w:val="none" w:sz="0" w:space="0" w:color="auto"/>
            <w:bottom w:val="none" w:sz="0" w:space="0" w:color="auto"/>
            <w:right w:val="none" w:sz="0" w:space="0" w:color="auto"/>
          </w:divBdr>
        </w:div>
      </w:divsChild>
    </w:div>
    <w:div w:id="2077698974">
      <w:bodyDiv w:val="1"/>
      <w:marLeft w:val="0"/>
      <w:marRight w:val="0"/>
      <w:marTop w:val="0"/>
      <w:marBottom w:val="0"/>
      <w:divBdr>
        <w:top w:val="none" w:sz="0" w:space="0" w:color="auto"/>
        <w:left w:val="none" w:sz="0" w:space="0" w:color="auto"/>
        <w:bottom w:val="none" w:sz="0" w:space="0" w:color="auto"/>
        <w:right w:val="none" w:sz="0" w:space="0" w:color="auto"/>
      </w:divBdr>
      <w:divsChild>
        <w:div w:id="307831547">
          <w:marLeft w:val="0"/>
          <w:marRight w:val="0"/>
          <w:marTop w:val="0"/>
          <w:marBottom w:val="0"/>
          <w:divBdr>
            <w:top w:val="none" w:sz="0" w:space="0" w:color="auto"/>
            <w:left w:val="none" w:sz="0" w:space="0" w:color="auto"/>
            <w:bottom w:val="none" w:sz="0" w:space="0" w:color="auto"/>
            <w:right w:val="none" w:sz="0" w:space="0" w:color="auto"/>
          </w:divBdr>
        </w:div>
      </w:divsChild>
    </w:div>
    <w:div w:id="2082749720">
      <w:bodyDiv w:val="1"/>
      <w:marLeft w:val="0"/>
      <w:marRight w:val="0"/>
      <w:marTop w:val="0"/>
      <w:marBottom w:val="0"/>
      <w:divBdr>
        <w:top w:val="none" w:sz="0" w:space="0" w:color="auto"/>
        <w:left w:val="none" w:sz="0" w:space="0" w:color="auto"/>
        <w:bottom w:val="none" w:sz="0" w:space="0" w:color="auto"/>
        <w:right w:val="none" w:sz="0" w:space="0" w:color="auto"/>
      </w:divBdr>
      <w:divsChild>
        <w:div w:id="1781413882">
          <w:marLeft w:val="0"/>
          <w:marRight w:val="0"/>
          <w:marTop w:val="0"/>
          <w:marBottom w:val="0"/>
          <w:divBdr>
            <w:top w:val="none" w:sz="0" w:space="0" w:color="auto"/>
            <w:left w:val="none" w:sz="0" w:space="0" w:color="auto"/>
            <w:bottom w:val="none" w:sz="0" w:space="0" w:color="auto"/>
            <w:right w:val="none" w:sz="0" w:space="0" w:color="auto"/>
          </w:divBdr>
        </w:div>
      </w:divsChild>
    </w:div>
    <w:div w:id="2087146672">
      <w:bodyDiv w:val="1"/>
      <w:marLeft w:val="0"/>
      <w:marRight w:val="0"/>
      <w:marTop w:val="0"/>
      <w:marBottom w:val="0"/>
      <w:divBdr>
        <w:top w:val="none" w:sz="0" w:space="0" w:color="auto"/>
        <w:left w:val="none" w:sz="0" w:space="0" w:color="auto"/>
        <w:bottom w:val="none" w:sz="0" w:space="0" w:color="auto"/>
        <w:right w:val="none" w:sz="0" w:space="0" w:color="auto"/>
      </w:divBdr>
      <w:divsChild>
        <w:div w:id="988485383">
          <w:marLeft w:val="0"/>
          <w:marRight w:val="0"/>
          <w:marTop w:val="0"/>
          <w:marBottom w:val="0"/>
          <w:divBdr>
            <w:top w:val="none" w:sz="0" w:space="0" w:color="auto"/>
            <w:left w:val="none" w:sz="0" w:space="0" w:color="auto"/>
            <w:bottom w:val="none" w:sz="0" w:space="0" w:color="auto"/>
            <w:right w:val="none" w:sz="0" w:space="0" w:color="auto"/>
          </w:divBdr>
        </w:div>
      </w:divsChild>
    </w:div>
    <w:div w:id="2102680062">
      <w:bodyDiv w:val="1"/>
      <w:marLeft w:val="0"/>
      <w:marRight w:val="0"/>
      <w:marTop w:val="0"/>
      <w:marBottom w:val="0"/>
      <w:divBdr>
        <w:top w:val="none" w:sz="0" w:space="0" w:color="auto"/>
        <w:left w:val="none" w:sz="0" w:space="0" w:color="auto"/>
        <w:bottom w:val="none" w:sz="0" w:space="0" w:color="auto"/>
        <w:right w:val="none" w:sz="0" w:space="0" w:color="auto"/>
      </w:divBdr>
      <w:divsChild>
        <w:div w:id="455217984">
          <w:marLeft w:val="0"/>
          <w:marRight w:val="0"/>
          <w:marTop w:val="0"/>
          <w:marBottom w:val="0"/>
          <w:divBdr>
            <w:top w:val="none" w:sz="0" w:space="0" w:color="auto"/>
            <w:left w:val="none" w:sz="0" w:space="0" w:color="auto"/>
            <w:bottom w:val="none" w:sz="0" w:space="0" w:color="auto"/>
            <w:right w:val="none" w:sz="0" w:space="0" w:color="auto"/>
          </w:divBdr>
        </w:div>
      </w:divsChild>
    </w:div>
    <w:div w:id="2103449668">
      <w:bodyDiv w:val="1"/>
      <w:marLeft w:val="0"/>
      <w:marRight w:val="0"/>
      <w:marTop w:val="0"/>
      <w:marBottom w:val="0"/>
      <w:divBdr>
        <w:top w:val="none" w:sz="0" w:space="0" w:color="auto"/>
        <w:left w:val="none" w:sz="0" w:space="0" w:color="auto"/>
        <w:bottom w:val="none" w:sz="0" w:space="0" w:color="auto"/>
        <w:right w:val="none" w:sz="0" w:space="0" w:color="auto"/>
      </w:divBdr>
      <w:divsChild>
        <w:div w:id="1780493674">
          <w:marLeft w:val="0"/>
          <w:marRight w:val="0"/>
          <w:marTop w:val="0"/>
          <w:marBottom w:val="0"/>
          <w:divBdr>
            <w:top w:val="none" w:sz="0" w:space="0" w:color="auto"/>
            <w:left w:val="none" w:sz="0" w:space="0" w:color="auto"/>
            <w:bottom w:val="none" w:sz="0" w:space="0" w:color="auto"/>
            <w:right w:val="none" w:sz="0" w:space="0" w:color="auto"/>
          </w:divBdr>
        </w:div>
        <w:div w:id="486671720">
          <w:marLeft w:val="0"/>
          <w:marRight w:val="0"/>
          <w:marTop w:val="0"/>
          <w:marBottom w:val="0"/>
          <w:divBdr>
            <w:top w:val="none" w:sz="0" w:space="0" w:color="auto"/>
            <w:left w:val="none" w:sz="0" w:space="0" w:color="auto"/>
            <w:bottom w:val="none" w:sz="0" w:space="0" w:color="auto"/>
            <w:right w:val="none" w:sz="0" w:space="0" w:color="auto"/>
          </w:divBdr>
        </w:div>
        <w:div w:id="2107656143">
          <w:marLeft w:val="0"/>
          <w:marRight w:val="0"/>
          <w:marTop w:val="0"/>
          <w:marBottom w:val="0"/>
          <w:divBdr>
            <w:top w:val="none" w:sz="0" w:space="0" w:color="auto"/>
            <w:left w:val="none" w:sz="0" w:space="0" w:color="auto"/>
            <w:bottom w:val="none" w:sz="0" w:space="0" w:color="auto"/>
            <w:right w:val="none" w:sz="0" w:space="0" w:color="auto"/>
          </w:divBdr>
        </w:div>
        <w:div w:id="1781681776">
          <w:marLeft w:val="0"/>
          <w:marRight w:val="0"/>
          <w:marTop w:val="0"/>
          <w:marBottom w:val="0"/>
          <w:divBdr>
            <w:top w:val="none" w:sz="0" w:space="0" w:color="auto"/>
            <w:left w:val="none" w:sz="0" w:space="0" w:color="auto"/>
            <w:bottom w:val="none" w:sz="0" w:space="0" w:color="auto"/>
            <w:right w:val="none" w:sz="0" w:space="0" w:color="auto"/>
          </w:divBdr>
        </w:div>
        <w:div w:id="546572141">
          <w:marLeft w:val="0"/>
          <w:marRight w:val="0"/>
          <w:marTop w:val="0"/>
          <w:marBottom w:val="0"/>
          <w:divBdr>
            <w:top w:val="none" w:sz="0" w:space="0" w:color="auto"/>
            <w:left w:val="none" w:sz="0" w:space="0" w:color="auto"/>
            <w:bottom w:val="none" w:sz="0" w:space="0" w:color="auto"/>
            <w:right w:val="none" w:sz="0" w:space="0" w:color="auto"/>
          </w:divBdr>
        </w:div>
        <w:div w:id="1877037065">
          <w:marLeft w:val="0"/>
          <w:marRight w:val="0"/>
          <w:marTop w:val="0"/>
          <w:marBottom w:val="0"/>
          <w:divBdr>
            <w:top w:val="none" w:sz="0" w:space="0" w:color="auto"/>
            <w:left w:val="none" w:sz="0" w:space="0" w:color="auto"/>
            <w:bottom w:val="none" w:sz="0" w:space="0" w:color="auto"/>
            <w:right w:val="none" w:sz="0" w:space="0" w:color="auto"/>
          </w:divBdr>
        </w:div>
      </w:divsChild>
    </w:div>
    <w:div w:id="2112510053">
      <w:bodyDiv w:val="1"/>
      <w:marLeft w:val="0"/>
      <w:marRight w:val="0"/>
      <w:marTop w:val="0"/>
      <w:marBottom w:val="0"/>
      <w:divBdr>
        <w:top w:val="none" w:sz="0" w:space="0" w:color="auto"/>
        <w:left w:val="none" w:sz="0" w:space="0" w:color="auto"/>
        <w:bottom w:val="none" w:sz="0" w:space="0" w:color="auto"/>
        <w:right w:val="none" w:sz="0" w:space="0" w:color="auto"/>
      </w:divBdr>
    </w:div>
    <w:div w:id="2113933586">
      <w:bodyDiv w:val="1"/>
      <w:marLeft w:val="0"/>
      <w:marRight w:val="0"/>
      <w:marTop w:val="0"/>
      <w:marBottom w:val="0"/>
      <w:divBdr>
        <w:top w:val="none" w:sz="0" w:space="0" w:color="auto"/>
        <w:left w:val="none" w:sz="0" w:space="0" w:color="auto"/>
        <w:bottom w:val="none" w:sz="0" w:space="0" w:color="auto"/>
        <w:right w:val="none" w:sz="0" w:space="0" w:color="auto"/>
      </w:divBdr>
      <w:divsChild>
        <w:div w:id="621114616">
          <w:marLeft w:val="0"/>
          <w:marRight w:val="0"/>
          <w:marTop w:val="0"/>
          <w:marBottom w:val="0"/>
          <w:divBdr>
            <w:top w:val="none" w:sz="0" w:space="0" w:color="auto"/>
            <w:left w:val="none" w:sz="0" w:space="0" w:color="auto"/>
            <w:bottom w:val="none" w:sz="0" w:space="0" w:color="auto"/>
            <w:right w:val="none" w:sz="0" w:space="0" w:color="auto"/>
          </w:divBdr>
        </w:div>
      </w:divsChild>
    </w:div>
    <w:div w:id="2119640513">
      <w:bodyDiv w:val="1"/>
      <w:marLeft w:val="0"/>
      <w:marRight w:val="0"/>
      <w:marTop w:val="0"/>
      <w:marBottom w:val="0"/>
      <w:divBdr>
        <w:top w:val="none" w:sz="0" w:space="0" w:color="auto"/>
        <w:left w:val="none" w:sz="0" w:space="0" w:color="auto"/>
        <w:bottom w:val="none" w:sz="0" w:space="0" w:color="auto"/>
        <w:right w:val="none" w:sz="0" w:space="0" w:color="auto"/>
      </w:divBdr>
    </w:div>
    <w:div w:id="2125224878">
      <w:bodyDiv w:val="1"/>
      <w:marLeft w:val="0"/>
      <w:marRight w:val="0"/>
      <w:marTop w:val="0"/>
      <w:marBottom w:val="0"/>
      <w:divBdr>
        <w:top w:val="none" w:sz="0" w:space="0" w:color="auto"/>
        <w:left w:val="none" w:sz="0" w:space="0" w:color="auto"/>
        <w:bottom w:val="none" w:sz="0" w:space="0" w:color="auto"/>
        <w:right w:val="none" w:sz="0" w:space="0" w:color="auto"/>
      </w:divBdr>
      <w:divsChild>
        <w:div w:id="737942560">
          <w:marLeft w:val="0"/>
          <w:marRight w:val="0"/>
          <w:marTop w:val="0"/>
          <w:marBottom w:val="0"/>
          <w:divBdr>
            <w:top w:val="none" w:sz="0" w:space="0" w:color="auto"/>
            <w:left w:val="none" w:sz="0" w:space="0" w:color="auto"/>
            <w:bottom w:val="none" w:sz="0" w:space="0" w:color="auto"/>
            <w:right w:val="none" w:sz="0" w:space="0" w:color="auto"/>
          </w:divBdr>
        </w:div>
      </w:divsChild>
    </w:div>
    <w:div w:id="2128887081">
      <w:bodyDiv w:val="1"/>
      <w:marLeft w:val="0"/>
      <w:marRight w:val="0"/>
      <w:marTop w:val="0"/>
      <w:marBottom w:val="0"/>
      <w:divBdr>
        <w:top w:val="none" w:sz="0" w:space="0" w:color="auto"/>
        <w:left w:val="none" w:sz="0" w:space="0" w:color="auto"/>
        <w:bottom w:val="none" w:sz="0" w:space="0" w:color="auto"/>
        <w:right w:val="none" w:sz="0" w:space="0" w:color="auto"/>
      </w:divBdr>
      <w:divsChild>
        <w:div w:id="1127895976">
          <w:marLeft w:val="0"/>
          <w:marRight w:val="0"/>
          <w:marTop w:val="0"/>
          <w:marBottom w:val="0"/>
          <w:divBdr>
            <w:top w:val="none" w:sz="0" w:space="0" w:color="auto"/>
            <w:left w:val="none" w:sz="0" w:space="0" w:color="auto"/>
            <w:bottom w:val="none" w:sz="0" w:space="0" w:color="auto"/>
            <w:right w:val="none" w:sz="0" w:space="0" w:color="auto"/>
          </w:divBdr>
        </w:div>
      </w:divsChild>
    </w:div>
    <w:div w:id="2138063447">
      <w:bodyDiv w:val="1"/>
      <w:marLeft w:val="0"/>
      <w:marRight w:val="0"/>
      <w:marTop w:val="0"/>
      <w:marBottom w:val="0"/>
      <w:divBdr>
        <w:top w:val="none" w:sz="0" w:space="0" w:color="auto"/>
        <w:left w:val="none" w:sz="0" w:space="0" w:color="auto"/>
        <w:bottom w:val="none" w:sz="0" w:space="0" w:color="auto"/>
        <w:right w:val="none" w:sz="0" w:space="0" w:color="auto"/>
      </w:divBdr>
      <w:divsChild>
        <w:div w:id="1544750941">
          <w:marLeft w:val="0"/>
          <w:marRight w:val="0"/>
          <w:marTop w:val="0"/>
          <w:marBottom w:val="0"/>
          <w:divBdr>
            <w:top w:val="none" w:sz="0" w:space="0" w:color="auto"/>
            <w:left w:val="none" w:sz="0" w:space="0" w:color="auto"/>
            <w:bottom w:val="none" w:sz="0" w:space="0" w:color="auto"/>
            <w:right w:val="none" w:sz="0" w:space="0" w:color="auto"/>
          </w:divBdr>
        </w:div>
      </w:divsChild>
    </w:div>
    <w:div w:id="2139184635">
      <w:bodyDiv w:val="1"/>
      <w:marLeft w:val="0"/>
      <w:marRight w:val="0"/>
      <w:marTop w:val="0"/>
      <w:marBottom w:val="0"/>
      <w:divBdr>
        <w:top w:val="none" w:sz="0" w:space="0" w:color="auto"/>
        <w:left w:val="none" w:sz="0" w:space="0" w:color="auto"/>
        <w:bottom w:val="none" w:sz="0" w:space="0" w:color="auto"/>
        <w:right w:val="none" w:sz="0" w:space="0" w:color="auto"/>
      </w:divBdr>
    </w:div>
    <w:div w:id="2146969725">
      <w:bodyDiv w:val="1"/>
      <w:marLeft w:val="0"/>
      <w:marRight w:val="0"/>
      <w:marTop w:val="0"/>
      <w:marBottom w:val="0"/>
      <w:divBdr>
        <w:top w:val="none" w:sz="0" w:space="0" w:color="auto"/>
        <w:left w:val="none" w:sz="0" w:space="0" w:color="auto"/>
        <w:bottom w:val="none" w:sz="0" w:space="0" w:color="auto"/>
        <w:right w:val="none" w:sz="0" w:space="0" w:color="auto"/>
      </w:divBdr>
      <w:divsChild>
        <w:div w:id="461386639">
          <w:marLeft w:val="0"/>
          <w:marRight w:val="0"/>
          <w:marTop w:val="0"/>
          <w:marBottom w:val="0"/>
          <w:divBdr>
            <w:top w:val="none" w:sz="0" w:space="0" w:color="auto"/>
            <w:left w:val="none" w:sz="0" w:space="0" w:color="auto"/>
            <w:bottom w:val="none" w:sz="0" w:space="0" w:color="auto"/>
            <w:right w:val="none" w:sz="0" w:space="0" w:color="auto"/>
          </w:divBdr>
        </w:div>
      </w:divsChild>
    </w:div>
    <w:div w:id="214704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microsoft.com/office/2011/relationships/commentsExtended" Target="commentsExtended.xml"/><Relationship Id="rId26" Type="http://schemas.openxmlformats.org/officeDocument/2006/relationships/hyperlink" Target="https://www.wecc.org/sites/default/files/documents/progress_report/2025/Inverter-Based%20Resource%20Disturbances%20in%20the%20Western%20Interconnection%2011.5.2025.pdf" TargetMode="External"/><Relationship Id="rId39" Type="http://schemas.openxmlformats.org/officeDocument/2006/relationships/fontTable" Target="fontTable.xml"/><Relationship Id="rId21" Type="http://schemas.openxmlformats.org/officeDocument/2006/relationships/hyperlink" Target="https://www.nerc.com/globalassets/programs/compliance/compliance-guidance/implementation/top-001-3-r13-and-iro-008-2-r4-real-time-assessments-oc.pdf" TargetMode="External"/><Relationship Id="rId34" Type="http://schemas.openxmlformats.org/officeDocument/2006/relationships/hyperlink" Target="https://www.aemo.com.au/energy-systems/electricity/national-electricity-market-nem/system-operations/general-power-system-risk-review"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29" Type="http://schemas.openxmlformats.org/officeDocument/2006/relationships/hyperlink" Target="https://www.aer.gov.au/system/files/Transgrid%20-%20AEMO%20-%20PMU%20NER%204.11.1%28d%29%20notice%20-%2027%20Jun%202022%20-%20PUBLIC.pdf?utm_source=copilot.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arxiv.org/pdf/2409.10726" TargetMode="External"/><Relationship Id="rId32" Type="http://schemas.openxmlformats.org/officeDocument/2006/relationships/image" Target="media/image1.emf"/><Relationship Id="rId37" Type="http://schemas.openxmlformats.org/officeDocument/2006/relationships/image" Target="media/image3.png"/><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wiley.com/en-us/Power+System+Control+Under+Cascading+Failures%3A+Understanding%2C+Mitigation%2C+and+System+Restoration-p-9781119282020" TargetMode="External"/><Relationship Id="rId28" Type="http://schemas.openxmlformats.org/officeDocument/2006/relationships/hyperlink" Target="https://energy-rules.aemc.gov.au/ner/3/5695" TargetMode="External"/><Relationship Id="rId36" Type="http://schemas.openxmlformats.org/officeDocument/2006/relationships/hyperlink" Target="https://www.aemo.com.au/-/media/Files/Electricity/NEM/Market_Notices_and_Events/Power_System_Incident_Reports/2017/Integrated-Final-Report-SA-Black-System-28-September-2016.pdf" TargetMode="Externa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hyperlink" Target="https://www.energy.gov/sites/prod/files/oeprod/DocumentsandMedia/BlackoutFinal-Web.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nerc.com/globalassets/programs/compliance/ero-enterprise-joint-irol-activity-report---july-2024.pdf" TargetMode="External"/><Relationship Id="rId27" Type="http://schemas.openxmlformats.org/officeDocument/2006/relationships/hyperlink" Target="https://www.nerc.com/globalassets/programs/event-analysis/ll20250901_ibr_controls_oscillation_events.pdf" TargetMode="External"/><Relationship Id="rId30" Type="http://schemas.openxmlformats.org/officeDocument/2006/relationships/hyperlink" Target="https://www.ferc.gov/sites/default/files/2020-05/04-27-2012-ferc-nerc-report.pdf" TargetMode="External"/><Relationship Id="rId35" Type="http://schemas.openxmlformats.org/officeDocument/2006/relationships/hyperlink" Target="https://en.wikipedia.org/wiki/AEMO"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comments" Target="comments.xml"/><Relationship Id="rId25" Type="http://schemas.openxmlformats.org/officeDocument/2006/relationships/hyperlink" Target="https://www.spp.org/documents/28859/spp%20disturbance%20performance%20requirements%20%28twg%20approved%29.pdf" TargetMode="External"/><Relationship Id="rId33" Type="http://schemas.openxmlformats.org/officeDocument/2006/relationships/image" Target="media/image2.emf"/><Relationship Id="rId3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2EB8D6541053B4D94900611246B1AFB" ma:contentTypeVersion="4" ma:contentTypeDescription="Create a new document." ma:contentTypeScope="" ma:versionID="ea703c9f4f189fea6d571263e8da86e0">
  <xsd:schema xmlns:xsd="http://www.w3.org/2001/XMLSchema" xmlns:xs="http://www.w3.org/2001/XMLSchema" xmlns:p="http://schemas.microsoft.com/office/2006/metadata/properties" xmlns:ns2="424e3c9f-65df-47b3-ac6d-a04790e3998e" targetNamespace="http://schemas.microsoft.com/office/2006/metadata/properties" ma:root="true" ma:fieldsID="32ff7d421241fa13d352270bf47edc62" ns2:_="">
    <xsd:import namespace="424e3c9f-65df-47b3-ac6d-a04790e399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ocument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e3c9f-65df-47b3-ac6d-a04790e39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ocument_x0020_Type" ma:index="11" ma:displayName="Document Type" ma:default="Miscellaneous" ma:format="Dropdown" ma:internalName="Document_x0020_Type">
      <xsd:simpleType>
        <xsd:restriction base="dms:Choice">
          <xsd:enumeration value="Meeting Minutes"/>
          <xsd:enumeration value="Presentations"/>
          <xsd:enumeration value="White Paper"/>
          <xsd:enumeration value="SAR Documents"/>
          <xsd:enumeration value="Miscellaneou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Type xmlns="424e3c9f-65df-47b3-ac6d-a04790e3998e">White Paper</Document_x0020_Typ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DD9759-137B-435B-A5B0-043F1F1467CB}">
  <ds:schemaRefs>
    <ds:schemaRef ds:uri="http://schemas.openxmlformats.org/officeDocument/2006/bibliography"/>
  </ds:schemaRefs>
</ds:datastoreItem>
</file>

<file path=customXml/itemProps2.xml><?xml version="1.0" encoding="utf-8"?>
<ds:datastoreItem xmlns:ds="http://schemas.openxmlformats.org/officeDocument/2006/customXml" ds:itemID="{09C62B82-32D7-4FAC-8B08-5AE9FCAC5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e3c9f-65df-47b3-ac6d-a04790e39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2C9878-E83C-47AC-BFFF-91F876F5B526}">
  <ds:schemaRefs>
    <ds:schemaRef ds:uri="http://schemas.microsoft.com/office/2006/metadata/properties"/>
    <ds:schemaRef ds:uri="http://schemas.microsoft.com/office/infopath/2007/PartnerControls"/>
    <ds:schemaRef ds:uri="424e3c9f-65df-47b3-ac6d-a04790e3998e"/>
  </ds:schemaRefs>
</ds:datastoreItem>
</file>

<file path=customXml/itemProps4.xml><?xml version="1.0" encoding="utf-8"?>
<ds:datastoreItem xmlns:ds="http://schemas.openxmlformats.org/officeDocument/2006/customXml" ds:itemID="{A7C5592B-5876-46FE-965F-D53DF88DB1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55</Pages>
  <Words>14598</Words>
  <Characters>98101</Characters>
  <Application>Microsoft Office Word</Application>
  <DocSecurity>0</DocSecurity>
  <Lines>2392</Lines>
  <Paragraphs>931</Paragraphs>
  <ScaleCrop>false</ScaleCrop>
  <HeadingPairs>
    <vt:vector size="2" baseType="variant">
      <vt:variant>
        <vt:lpstr>Title</vt:lpstr>
      </vt:variant>
      <vt:variant>
        <vt:i4>1</vt:i4>
      </vt:variant>
    </vt:vector>
  </HeadingPairs>
  <TitlesOfParts>
    <vt:vector size="1" baseType="lpstr">
      <vt:lpstr/>
    </vt:vector>
  </TitlesOfParts>
  <Company>Manitoba Hydro</Company>
  <LinksUpToDate>false</LinksUpToDate>
  <CharactersWithSpaces>111768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Ostash, Kevin</dc:creator>
  <cp:keywords/>
  <dc:description/>
  <cp:lastModifiedBy>Gorrell, Alyssa L</cp:lastModifiedBy>
  <cp:revision>3</cp:revision>
  <dcterms:created xsi:type="dcterms:W3CDTF">2026-10-15T17:32:00Z</dcterms:created>
  <dcterms:modified xsi:type="dcterms:W3CDTF">2026-10-27T21:04:00Z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0x01010052EB8D6541053B4D94900611246B1AFB</vt:lpwstr>
  </property>
  <property fmtid="{D5CDD505-2E9C-101B-9397-08002B2CF9AE}" pid="3" name="GrammarlyDocumentId">
    <vt:lpwstr>f352cdec-3aa6-42cc-a991-b32374d2b437</vt:lpwstr>
  </property>
</Properties>
</file>